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89C67" w14:textId="77777777" w:rsidR="001612D5" w:rsidRDefault="00000000">
      <w:pPr>
        <w:ind w:left="6237"/>
        <w:jc w:val="left"/>
        <w:textAlignment w:val="top"/>
        <w:rPr>
          <w:rFonts w:ascii="Times New Roman" w:hAnsi="Times New Roman"/>
          <w:sz w:val="22"/>
        </w:rPr>
      </w:pPr>
      <w:r>
        <w:rPr>
          <w:rFonts w:ascii="Times New Roman" w:hAnsi="Times New Roman"/>
          <w:noProof/>
          <w:sz w:val="22"/>
        </w:rPr>
        <w:drawing>
          <wp:anchor distT="0" distB="0" distL="114300" distR="114300" simplePos="0" relativeHeight="251659264" behindDoc="0" locked="0" layoutInCell="1" allowOverlap="1" wp14:anchorId="4A0DD8E5" wp14:editId="1046ABA7">
            <wp:simplePos x="0" y="0"/>
            <wp:positionH relativeFrom="column">
              <wp:posOffset>34925</wp:posOffset>
            </wp:positionH>
            <wp:positionV relativeFrom="paragraph">
              <wp:posOffset>31115</wp:posOffset>
            </wp:positionV>
            <wp:extent cx="1902460" cy="571500"/>
            <wp:effectExtent l="19050" t="0" r="254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cstate="print"/>
                    <a:srcRect/>
                    <a:stretch>
                      <a:fillRect/>
                    </a:stretch>
                  </pic:blipFill>
                  <pic:spPr>
                    <a:xfrm>
                      <a:off x="0" y="0"/>
                      <a:ext cx="1902460" cy="571500"/>
                    </a:xfrm>
                    <a:prstGeom prst="rect">
                      <a:avLst/>
                    </a:prstGeom>
                    <a:noFill/>
                    <a:ln w="9525">
                      <a:noFill/>
                      <a:miter lim="800000"/>
                      <a:headEnd/>
                      <a:tailEnd/>
                    </a:ln>
                  </pic:spPr>
                </pic:pic>
              </a:graphicData>
            </a:graphic>
          </wp:anchor>
        </w:drawing>
      </w:r>
      <w:r>
        <w:rPr>
          <w:rFonts w:ascii="Times New Roman" w:hAnsi="Times New Roman" w:hint="eastAsia"/>
          <w:sz w:val="22"/>
        </w:rPr>
        <w:t xml:space="preserve">AIMS Bioengineering, </w:t>
      </w:r>
      <w:r>
        <w:rPr>
          <w:rFonts w:ascii="Times New Roman" w:hAnsi="Times New Roman"/>
          <w:sz w:val="22"/>
        </w:rPr>
        <w:t>9</w:t>
      </w:r>
      <w:r>
        <w:rPr>
          <w:rFonts w:ascii="Times New Roman" w:hAnsi="Times New Roman" w:hint="eastAsia"/>
          <w:sz w:val="22"/>
        </w:rPr>
        <w:t>(</w:t>
      </w:r>
      <w:r>
        <w:rPr>
          <w:rFonts w:ascii="Times New Roman" w:hAnsi="Times New Roman"/>
          <w:sz w:val="22"/>
        </w:rPr>
        <w:t>4</w:t>
      </w:r>
      <w:r>
        <w:rPr>
          <w:rFonts w:ascii="Times New Roman" w:hAnsi="Times New Roman" w:hint="eastAsia"/>
          <w:sz w:val="22"/>
        </w:rPr>
        <w:t>):</w:t>
      </w:r>
      <w:r>
        <w:rPr>
          <w:rFonts w:ascii="Times New Roman" w:hAnsi="Times New Roman"/>
          <w:sz w:val="22"/>
        </w:rPr>
        <w:t xml:space="preserve"> 396–412.</w:t>
      </w:r>
    </w:p>
    <w:p w14:paraId="5664DA82" w14:textId="77777777" w:rsidR="001612D5" w:rsidRDefault="00000000">
      <w:pPr>
        <w:ind w:left="6237"/>
        <w:jc w:val="left"/>
        <w:textAlignment w:val="top"/>
        <w:rPr>
          <w:rFonts w:ascii="Times New Roman" w:hAnsi="Times New Roman"/>
          <w:sz w:val="22"/>
        </w:rPr>
      </w:pPr>
      <w:r>
        <w:rPr>
          <w:rFonts w:ascii="Times New Roman" w:hAnsi="Times New Roman"/>
          <w:sz w:val="22"/>
        </w:rPr>
        <w:t>DOI:</w:t>
      </w:r>
      <w:r>
        <w:rPr>
          <w:rFonts w:ascii="Times New Roman" w:hAnsi="Times New Roman" w:hint="eastAsia"/>
          <w:sz w:val="22"/>
        </w:rPr>
        <w:t xml:space="preserve"> </w:t>
      </w:r>
      <w:proofErr w:type="spellStart"/>
      <w:r>
        <w:rPr>
          <w:rFonts w:ascii="Times New Roman" w:hAnsi="Times New Roman"/>
          <w:sz w:val="22"/>
        </w:rPr>
        <w:t>doi</w:t>
      </w:r>
      <w:proofErr w:type="spellEnd"/>
      <w:r>
        <w:rPr>
          <w:rFonts w:ascii="Times New Roman" w:hAnsi="Times New Roman"/>
          <w:sz w:val="22"/>
        </w:rPr>
        <w:t>/10.3934/bioeng.2022029</w:t>
      </w:r>
      <w:r>
        <w:rPr>
          <w:rFonts w:ascii="Times New Roman" w:hAnsi="Times New Roman"/>
          <w:sz w:val="22"/>
        </w:rPr>
        <w:br/>
      </w:r>
      <w:r>
        <w:rPr>
          <w:rFonts w:ascii="Times New Roman" w:hAnsi="Times New Roman" w:hint="eastAsia"/>
          <w:sz w:val="22"/>
        </w:rPr>
        <w:t>Received:</w:t>
      </w:r>
      <w:r>
        <w:rPr>
          <w:rFonts w:ascii="Times New Roman" w:hAnsi="Times New Roman"/>
          <w:sz w:val="22"/>
        </w:rPr>
        <w:t xml:space="preserve"> 13 September 2022</w:t>
      </w:r>
    </w:p>
    <w:p w14:paraId="761F84D1" w14:textId="77777777" w:rsidR="001612D5" w:rsidRDefault="00000000">
      <w:pPr>
        <w:ind w:left="6237"/>
        <w:jc w:val="left"/>
        <w:textAlignment w:val="top"/>
        <w:rPr>
          <w:rFonts w:ascii="Times New Roman" w:hAnsi="Times New Roman"/>
          <w:sz w:val="22"/>
        </w:rPr>
      </w:pPr>
      <w:r>
        <w:rPr>
          <w:rFonts w:ascii="Times New Roman" w:hAnsi="Times New Roman" w:hint="eastAsia"/>
          <w:sz w:val="22"/>
        </w:rPr>
        <w:t>Revised:</w:t>
      </w:r>
      <w:r>
        <w:rPr>
          <w:rFonts w:ascii="Times New Roman" w:hAnsi="Times New Roman"/>
          <w:sz w:val="22"/>
        </w:rPr>
        <w:t xml:space="preserve"> 11 December 2022</w:t>
      </w:r>
    </w:p>
    <w:p w14:paraId="32372CBB" w14:textId="77777777" w:rsidR="001612D5" w:rsidRDefault="00000000">
      <w:pPr>
        <w:ind w:left="6237"/>
        <w:jc w:val="left"/>
        <w:textAlignment w:val="top"/>
        <w:rPr>
          <w:rFonts w:ascii="Times New Roman" w:hAnsi="Times New Roman"/>
          <w:sz w:val="22"/>
        </w:rPr>
      </w:pPr>
      <w:r>
        <w:rPr>
          <w:rFonts w:ascii="Times New Roman" w:hAnsi="Times New Roman" w:hint="eastAsia"/>
          <w:sz w:val="22"/>
        </w:rPr>
        <w:t xml:space="preserve">Accepted: </w:t>
      </w:r>
      <w:r>
        <w:rPr>
          <w:rFonts w:ascii="Times New Roman" w:hAnsi="Times New Roman"/>
          <w:sz w:val="22"/>
        </w:rPr>
        <w:t>23 December 2022</w:t>
      </w:r>
      <w:r>
        <w:rPr>
          <w:rFonts w:ascii="Times New Roman" w:hAnsi="Times New Roman"/>
          <w:sz w:val="22"/>
        </w:rPr>
        <w:br/>
      </w:r>
      <w:r>
        <w:rPr>
          <w:rFonts w:ascii="Times New Roman" w:hAnsi="Times New Roman" w:hint="eastAsia"/>
          <w:sz w:val="22"/>
        </w:rPr>
        <w:t>Published:</w:t>
      </w:r>
    </w:p>
    <w:p w14:paraId="09BBBD81" w14:textId="77777777" w:rsidR="001612D5" w:rsidRDefault="00000000">
      <w:pPr>
        <w:rPr>
          <w:rFonts w:ascii="Times New Roman" w:hAnsi="Times New Roman"/>
          <w:sz w:val="22"/>
        </w:rPr>
      </w:pPr>
      <w:r>
        <w:rPr>
          <w:rFonts w:ascii="Times New Roman" w:hAnsi="Times New Roman"/>
          <w:sz w:val="22"/>
        </w:rPr>
        <w:t>http://www.aimspress.com/journal/Bioengineering</w:t>
      </w:r>
    </w:p>
    <w:p w14:paraId="0261C0DA" w14:textId="77777777" w:rsidR="001612D5" w:rsidRDefault="001612D5">
      <w:pPr>
        <w:pBdr>
          <w:bottom w:val="single" w:sz="24" w:space="1" w:color="auto"/>
        </w:pBdr>
        <w:spacing w:line="320" w:lineRule="atLeast"/>
        <w:rPr>
          <w:rFonts w:ascii="Times New Roman" w:hAnsi="Times New Roman"/>
        </w:rPr>
      </w:pPr>
    </w:p>
    <w:p w14:paraId="7B302D81" w14:textId="77777777" w:rsidR="001612D5" w:rsidRDefault="00000000">
      <w:pPr>
        <w:spacing w:beforeLines="100" w:before="312" w:line="300" w:lineRule="atLeast"/>
        <w:jc w:val="left"/>
        <w:rPr>
          <w:rFonts w:ascii="Times New Roman" w:hAnsi="Times New Roman"/>
          <w:b/>
          <w:i/>
          <w:sz w:val="24"/>
          <w:szCs w:val="24"/>
        </w:rPr>
      </w:pPr>
      <w:r>
        <w:rPr>
          <w:rFonts w:ascii="Times New Roman" w:hAnsi="Times New Roman"/>
          <w:b/>
          <w:i/>
          <w:sz w:val="24"/>
          <w:szCs w:val="24"/>
        </w:rPr>
        <w:t>Research article</w:t>
      </w:r>
    </w:p>
    <w:p w14:paraId="024EA48E" w14:textId="77777777" w:rsidR="001612D5" w:rsidRPr="003764E2" w:rsidRDefault="00000000">
      <w:pPr>
        <w:rPr>
          <w:rFonts w:ascii="Times New Roman" w:hAnsi="Times New Roman"/>
          <w:b/>
          <w:sz w:val="32"/>
          <w:szCs w:val="32"/>
        </w:rPr>
      </w:pPr>
      <w:r>
        <w:rPr>
          <w:rFonts w:ascii="Times New Roman" w:hAnsi="Times New Roman"/>
          <w:b/>
          <w:sz w:val="32"/>
          <w:szCs w:val="32"/>
        </w:rPr>
        <w:t xml:space="preserve">A micro-CT evaluation of </w:t>
      </w:r>
      <w:r>
        <w:rPr>
          <w:rFonts w:ascii="Times New Roman" w:hAnsi="Times New Roman" w:hint="eastAsia"/>
          <w:b/>
          <w:sz w:val="32"/>
          <w:szCs w:val="32"/>
        </w:rPr>
        <w:t>b</w:t>
      </w:r>
      <w:r>
        <w:rPr>
          <w:rFonts w:ascii="Times New Roman" w:hAnsi="Times New Roman"/>
          <w:b/>
          <w:sz w:val="32"/>
          <w:szCs w:val="32"/>
        </w:rPr>
        <w:t xml:space="preserve">one density around two different types of surfaces on one-piece </w:t>
      </w:r>
      <w:proofErr w:type="spellStart"/>
      <w:r>
        <w:rPr>
          <w:rFonts w:ascii="Times New Roman" w:hAnsi="Times New Roman"/>
          <w:b/>
          <w:sz w:val="32"/>
          <w:szCs w:val="32"/>
        </w:rPr>
        <w:t>fixo</w:t>
      </w:r>
      <w:proofErr w:type="spellEnd"/>
      <w:r>
        <w:rPr>
          <w:rFonts w:ascii="Times New Roman" w:hAnsi="Times New Roman"/>
          <w:b/>
          <w:sz w:val="32"/>
          <w:szCs w:val="32"/>
        </w:rPr>
        <w:t xml:space="preserve"> implants with early loading-</w:t>
      </w:r>
      <w:r w:rsidRPr="003764E2">
        <w:rPr>
          <w:rFonts w:ascii="Times New Roman" w:hAnsi="Times New Roman"/>
          <w:b/>
          <w:sz w:val="32"/>
          <w:szCs w:val="32"/>
        </w:rPr>
        <w:t>an experimental study in dogs at 3 months</w:t>
      </w:r>
    </w:p>
    <w:p w14:paraId="1E0B9B5A" w14:textId="2D1EB367" w:rsidR="001612D5" w:rsidRDefault="00000000">
      <w:pPr>
        <w:spacing w:beforeLines="100" w:before="312" w:line="300" w:lineRule="atLeast"/>
        <w:rPr>
          <w:rFonts w:ascii="Times New Roman" w:hAnsi="Times New Roman"/>
          <w:b/>
          <w:sz w:val="24"/>
          <w:szCs w:val="24"/>
          <w:vertAlign w:val="superscript"/>
          <w:lang w:val="es-ES"/>
        </w:rPr>
      </w:pPr>
      <w:r>
        <w:rPr>
          <w:rFonts w:ascii="Times New Roman" w:hAnsi="Times New Roman"/>
          <w:b/>
          <w:sz w:val="24"/>
          <w:szCs w:val="24"/>
          <w:lang w:val="es-ES"/>
        </w:rPr>
        <w:t>Jos</w:t>
      </w:r>
      <w:r w:rsidR="002E13CF">
        <w:rPr>
          <w:rFonts w:ascii="Times New Roman" w:hAnsi="Times New Roman"/>
          <w:b/>
          <w:sz w:val="24"/>
          <w:szCs w:val="24"/>
          <w:lang w:val="es-ES"/>
        </w:rPr>
        <w:t>é</w:t>
      </w:r>
      <w:r>
        <w:rPr>
          <w:rFonts w:ascii="Times New Roman" w:hAnsi="Times New Roman"/>
          <w:b/>
          <w:sz w:val="24"/>
          <w:szCs w:val="24"/>
          <w:lang w:val="es-ES"/>
        </w:rPr>
        <w:t xml:space="preserve"> Luis Calvo-Guirado</w:t>
      </w:r>
      <w:r>
        <w:rPr>
          <w:rFonts w:ascii="Times New Roman" w:hAnsi="Times New Roman"/>
          <w:b/>
          <w:sz w:val="24"/>
          <w:szCs w:val="24"/>
          <w:vertAlign w:val="superscript"/>
          <w:lang w:val="es-ES"/>
        </w:rPr>
        <w:t>1,</w:t>
      </w:r>
      <w:r>
        <w:rPr>
          <w:rFonts w:ascii="Times New Roman" w:hAnsi="Times New Roman"/>
          <w:b/>
          <w:sz w:val="24"/>
          <w:szCs w:val="24"/>
          <w:lang w:val="es-ES"/>
        </w:rPr>
        <w:t>*, Nuria Garc</w:t>
      </w:r>
      <w:r w:rsidR="002E13CF">
        <w:rPr>
          <w:rFonts w:ascii="Times New Roman" w:hAnsi="Times New Roman"/>
          <w:b/>
          <w:sz w:val="24"/>
          <w:szCs w:val="24"/>
          <w:lang w:val="es-ES"/>
        </w:rPr>
        <w:t>í</w:t>
      </w:r>
      <w:r>
        <w:rPr>
          <w:rFonts w:ascii="Times New Roman" w:hAnsi="Times New Roman"/>
          <w:b/>
          <w:sz w:val="24"/>
          <w:szCs w:val="24"/>
          <w:lang w:val="es-ES"/>
        </w:rPr>
        <w:t>a Carrillo</w:t>
      </w:r>
      <w:r w:rsidRPr="003764E2">
        <w:rPr>
          <w:rFonts w:ascii="Times New Roman" w:hAnsi="Times New Roman" w:hint="eastAsia"/>
          <w:b/>
          <w:sz w:val="24"/>
          <w:szCs w:val="24"/>
          <w:vertAlign w:val="superscript"/>
          <w:lang w:val="es-ES"/>
        </w:rPr>
        <w:t>2</w:t>
      </w:r>
      <w:r>
        <w:rPr>
          <w:rFonts w:ascii="Times New Roman" w:hAnsi="Times New Roman"/>
          <w:b/>
          <w:sz w:val="24"/>
          <w:szCs w:val="24"/>
          <w:lang w:val="es-ES"/>
        </w:rPr>
        <w:t>, F</w:t>
      </w:r>
      <w:r w:rsidR="002E13CF">
        <w:rPr>
          <w:rFonts w:ascii="Times New Roman" w:hAnsi="Times New Roman"/>
          <w:b/>
          <w:sz w:val="24"/>
          <w:szCs w:val="24"/>
          <w:lang w:val="es-ES"/>
        </w:rPr>
        <w:t>é</w:t>
      </w:r>
      <w:r>
        <w:rPr>
          <w:rFonts w:ascii="Times New Roman" w:hAnsi="Times New Roman"/>
          <w:b/>
          <w:sz w:val="24"/>
          <w:szCs w:val="24"/>
          <w:lang w:val="es-ES"/>
        </w:rPr>
        <w:t>lix de Carlos-Villafranca</w:t>
      </w:r>
      <w:r>
        <w:rPr>
          <w:rFonts w:ascii="Times New Roman" w:hAnsi="Times New Roman"/>
          <w:b/>
          <w:sz w:val="24"/>
          <w:szCs w:val="24"/>
          <w:vertAlign w:val="superscript"/>
          <w:lang w:val="es-ES"/>
        </w:rPr>
        <w:t>3</w:t>
      </w:r>
      <w:r>
        <w:rPr>
          <w:rFonts w:ascii="Times New Roman" w:hAnsi="Times New Roman"/>
          <w:b/>
          <w:sz w:val="24"/>
          <w:szCs w:val="24"/>
          <w:lang w:val="es-ES"/>
        </w:rPr>
        <w:t>, Miguel Angel Garces-Villala</w:t>
      </w:r>
      <w:r>
        <w:rPr>
          <w:rFonts w:ascii="Times New Roman" w:hAnsi="Times New Roman"/>
          <w:b/>
          <w:sz w:val="24"/>
          <w:szCs w:val="24"/>
          <w:vertAlign w:val="superscript"/>
          <w:lang w:val="es-ES"/>
        </w:rPr>
        <w:t>4</w:t>
      </w:r>
      <w:r>
        <w:rPr>
          <w:rFonts w:ascii="Times New Roman" w:hAnsi="Times New Roman"/>
          <w:b/>
          <w:sz w:val="24"/>
          <w:szCs w:val="24"/>
          <w:lang w:val="es-ES"/>
        </w:rPr>
        <w:t>, Lanka Mahesh</w:t>
      </w:r>
      <w:r>
        <w:rPr>
          <w:rFonts w:ascii="Times New Roman" w:hAnsi="Times New Roman"/>
          <w:b/>
          <w:sz w:val="24"/>
          <w:szCs w:val="24"/>
          <w:vertAlign w:val="superscript"/>
          <w:lang w:val="es-ES"/>
        </w:rPr>
        <w:t>5</w:t>
      </w:r>
      <w:r>
        <w:rPr>
          <w:rFonts w:ascii="Times New Roman" w:hAnsi="Times New Roman"/>
          <w:b/>
          <w:sz w:val="24"/>
          <w:szCs w:val="24"/>
          <w:lang w:val="es-ES"/>
        </w:rPr>
        <w:t>, Juan Carlos Ibanez</w:t>
      </w:r>
      <w:r>
        <w:rPr>
          <w:rFonts w:ascii="Times New Roman" w:hAnsi="Times New Roman"/>
          <w:b/>
          <w:sz w:val="24"/>
          <w:szCs w:val="24"/>
          <w:vertAlign w:val="superscript"/>
          <w:lang w:val="es-ES"/>
        </w:rPr>
        <w:t>6</w:t>
      </w:r>
      <w:r>
        <w:rPr>
          <w:rFonts w:ascii="Times New Roman" w:hAnsi="Times New Roman"/>
          <w:b/>
          <w:sz w:val="24"/>
          <w:szCs w:val="24"/>
          <w:lang w:val="es-ES"/>
        </w:rPr>
        <w:t xml:space="preserve"> and Francisco Martinez-Martinez</w:t>
      </w:r>
      <w:r>
        <w:rPr>
          <w:rFonts w:ascii="Times New Roman" w:hAnsi="Times New Roman"/>
          <w:b/>
          <w:sz w:val="24"/>
          <w:szCs w:val="24"/>
          <w:vertAlign w:val="superscript"/>
          <w:lang w:val="es-ES"/>
        </w:rPr>
        <w:t>7</w:t>
      </w:r>
    </w:p>
    <w:p w14:paraId="3E539547" w14:textId="77777777" w:rsidR="001612D5" w:rsidRDefault="00000000">
      <w:pPr>
        <w:widowControl/>
        <w:numPr>
          <w:ilvl w:val="0"/>
          <w:numId w:val="1"/>
        </w:numPr>
        <w:adjustRightInd w:val="0"/>
        <w:snapToGrid w:val="0"/>
        <w:spacing w:beforeLines="100" w:before="312" w:line="300" w:lineRule="atLeast"/>
        <w:ind w:left="240" w:hangingChars="100" w:hanging="240"/>
        <w:rPr>
          <w:rFonts w:ascii="Times New Roman" w:eastAsia="Times New Roman" w:hAnsi="Times New Roman"/>
          <w:color w:val="000000"/>
          <w:kern w:val="0"/>
          <w:sz w:val="24"/>
          <w:szCs w:val="24"/>
          <w:lang w:eastAsia="de-DE" w:bidi="en-US"/>
        </w:rPr>
      </w:pPr>
      <w:r>
        <w:rPr>
          <w:rFonts w:ascii="Times New Roman" w:eastAsia="Times New Roman" w:hAnsi="Times New Roman"/>
          <w:color w:val="000000"/>
          <w:kern w:val="0"/>
          <w:sz w:val="24"/>
          <w:szCs w:val="24"/>
          <w:lang w:eastAsia="de-DE" w:bidi="en-US"/>
        </w:rPr>
        <w:t xml:space="preserve">Associate Researcher. Health Sciences </w:t>
      </w:r>
      <w:proofErr w:type="spellStart"/>
      <w:r>
        <w:rPr>
          <w:rFonts w:ascii="Times New Roman" w:eastAsia="Times New Roman" w:hAnsi="Times New Roman"/>
          <w:color w:val="000000"/>
          <w:kern w:val="0"/>
          <w:sz w:val="24"/>
          <w:szCs w:val="24"/>
          <w:lang w:eastAsia="de-DE" w:bidi="en-US"/>
        </w:rPr>
        <w:t>Faculty.Universidad</w:t>
      </w:r>
      <w:proofErr w:type="spellEnd"/>
      <w:r>
        <w:rPr>
          <w:rFonts w:ascii="Times New Roman" w:eastAsia="Times New Roman" w:hAnsi="Times New Roman"/>
          <w:color w:val="000000"/>
          <w:kern w:val="0"/>
          <w:sz w:val="24"/>
          <w:szCs w:val="24"/>
          <w:lang w:eastAsia="de-DE" w:bidi="en-US"/>
        </w:rPr>
        <w:t xml:space="preserve"> </w:t>
      </w:r>
      <w:proofErr w:type="spellStart"/>
      <w:r>
        <w:rPr>
          <w:rFonts w:ascii="Times New Roman" w:eastAsia="Times New Roman" w:hAnsi="Times New Roman"/>
          <w:color w:val="000000"/>
          <w:kern w:val="0"/>
          <w:sz w:val="24"/>
          <w:szCs w:val="24"/>
          <w:lang w:eastAsia="de-DE" w:bidi="en-US"/>
        </w:rPr>
        <w:t>autónoma</w:t>
      </w:r>
      <w:proofErr w:type="spellEnd"/>
      <w:r>
        <w:rPr>
          <w:rFonts w:ascii="Times New Roman" w:eastAsia="Times New Roman" w:hAnsi="Times New Roman"/>
          <w:color w:val="000000"/>
          <w:kern w:val="0"/>
          <w:sz w:val="24"/>
          <w:szCs w:val="24"/>
          <w:lang w:eastAsia="de-DE" w:bidi="en-US"/>
        </w:rPr>
        <w:t xml:space="preserve"> de Chile, 7500912, Chile, Private Practice Murcia, Spain</w:t>
      </w:r>
    </w:p>
    <w:p w14:paraId="27929D83" w14:textId="77777777" w:rsidR="001612D5" w:rsidRDefault="00000000">
      <w:pPr>
        <w:widowControl/>
        <w:numPr>
          <w:ilvl w:val="0"/>
          <w:numId w:val="1"/>
        </w:numPr>
        <w:autoSpaceDE w:val="0"/>
        <w:autoSpaceDN w:val="0"/>
        <w:adjustRightInd w:val="0"/>
        <w:spacing w:beforeLines="100" w:before="312" w:line="300" w:lineRule="atLeast"/>
        <w:ind w:left="240" w:hangingChars="100" w:hanging="240"/>
        <w:contextualSpacing/>
        <w:rPr>
          <w:rFonts w:ascii="Times New Roman" w:eastAsia="Calibri" w:hAnsi="Times New Roman"/>
          <w:color w:val="000000"/>
          <w:kern w:val="0"/>
          <w:sz w:val="24"/>
          <w:szCs w:val="24"/>
          <w:lang w:eastAsia="en-US"/>
        </w:rPr>
      </w:pPr>
      <w:r>
        <w:rPr>
          <w:rFonts w:ascii="Times New Roman" w:eastAsia="Calibri" w:hAnsi="Times New Roman"/>
          <w:color w:val="000000"/>
          <w:kern w:val="0"/>
          <w:sz w:val="24"/>
          <w:szCs w:val="24"/>
          <w:lang w:eastAsia="en-US"/>
        </w:rPr>
        <w:t>Veterinarian, University of Murcia, Spain, 30007, Murcia, Spain</w:t>
      </w:r>
    </w:p>
    <w:p w14:paraId="3EB16077" w14:textId="77777777" w:rsidR="001612D5" w:rsidRDefault="00000000">
      <w:pPr>
        <w:widowControl/>
        <w:numPr>
          <w:ilvl w:val="0"/>
          <w:numId w:val="1"/>
        </w:numPr>
        <w:autoSpaceDE w:val="0"/>
        <w:autoSpaceDN w:val="0"/>
        <w:adjustRightInd w:val="0"/>
        <w:spacing w:beforeLines="100" w:before="312" w:line="300" w:lineRule="atLeast"/>
        <w:ind w:left="240" w:hangingChars="100" w:hanging="240"/>
        <w:contextualSpacing/>
        <w:rPr>
          <w:rFonts w:ascii="Times New Roman" w:eastAsia="Calibri" w:hAnsi="Times New Roman"/>
          <w:color w:val="000000"/>
          <w:kern w:val="0"/>
          <w:sz w:val="24"/>
          <w:szCs w:val="24"/>
          <w:lang w:eastAsia="en-US"/>
        </w:rPr>
      </w:pPr>
      <w:r>
        <w:rPr>
          <w:rFonts w:ascii="Times New Roman" w:eastAsia="Calibri" w:hAnsi="Times New Roman"/>
          <w:color w:val="000000"/>
          <w:kern w:val="0"/>
          <w:sz w:val="24"/>
          <w:szCs w:val="24"/>
          <w:lang w:eastAsia="en-US"/>
        </w:rPr>
        <w:t>Department of Orthodontics, Faculty of Medicine, University of Oviedo, Asturias, Spain</w:t>
      </w:r>
    </w:p>
    <w:p w14:paraId="35CE7FB6" w14:textId="77777777" w:rsidR="001612D5" w:rsidRDefault="00000000">
      <w:pPr>
        <w:widowControl/>
        <w:numPr>
          <w:ilvl w:val="0"/>
          <w:numId w:val="1"/>
        </w:numPr>
        <w:autoSpaceDE w:val="0"/>
        <w:autoSpaceDN w:val="0"/>
        <w:adjustRightInd w:val="0"/>
        <w:spacing w:beforeLines="100" w:before="312" w:line="300" w:lineRule="atLeast"/>
        <w:ind w:left="240" w:hangingChars="100" w:hanging="240"/>
        <w:contextualSpacing/>
        <w:rPr>
          <w:rFonts w:ascii="Times New Roman" w:eastAsia="Calibri" w:hAnsi="Times New Roman"/>
          <w:color w:val="000000"/>
          <w:kern w:val="0"/>
          <w:sz w:val="24"/>
          <w:szCs w:val="24"/>
          <w:lang w:eastAsia="en-US"/>
        </w:rPr>
      </w:pPr>
      <w:r>
        <w:rPr>
          <w:rFonts w:ascii="Times New Roman" w:eastAsia="Calibri" w:hAnsi="Times New Roman"/>
          <w:color w:val="000000"/>
          <w:kern w:val="0"/>
          <w:sz w:val="24"/>
          <w:szCs w:val="24"/>
          <w:lang w:eastAsia="en-US"/>
        </w:rPr>
        <w:t xml:space="preserve">Department of Implant and Biomaterial Research, Fundación Corazon de Jesus, San Juan, </w:t>
      </w:r>
      <w:proofErr w:type="spellStart"/>
      <w:r>
        <w:rPr>
          <w:rFonts w:ascii="Times New Roman" w:eastAsia="Calibri" w:hAnsi="Times New Roman"/>
          <w:color w:val="000000"/>
          <w:kern w:val="0"/>
          <w:sz w:val="24"/>
          <w:szCs w:val="24"/>
          <w:lang w:eastAsia="en-US"/>
        </w:rPr>
        <w:t>Argentin</w:t>
      </w:r>
      <w:proofErr w:type="spellEnd"/>
    </w:p>
    <w:p w14:paraId="4E0631B9" w14:textId="77777777" w:rsidR="001612D5" w:rsidRDefault="00000000">
      <w:pPr>
        <w:widowControl/>
        <w:numPr>
          <w:ilvl w:val="0"/>
          <w:numId w:val="1"/>
        </w:numPr>
        <w:autoSpaceDE w:val="0"/>
        <w:autoSpaceDN w:val="0"/>
        <w:adjustRightInd w:val="0"/>
        <w:spacing w:beforeLines="100" w:before="312" w:line="300" w:lineRule="atLeast"/>
        <w:ind w:left="240" w:hangingChars="100" w:hanging="240"/>
        <w:contextualSpacing/>
        <w:rPr>
          <w:rFonts w:ascii="Times New Roman" w:eastAsia="Calibri" w:hAnsi="Times New Roman"/>
          <w:color w:val="000000"/>
          <w:kern w:val="0"/>
          <w:sz w:val="24"/>
          <w:szCs w:val="24"/>
          <w:lang w:eastAsia="en-US"/>
        </w:rPr>
      </w:pPr>
      <w:r>
        <w:rPr>
          <w:rFonts w:ascii="Times New Roman" w:eastAsia="Calibri" w:hAnsi="Times New Roman"/>
          <w:color w:val="000000"/>
          <w:kern w:val="0"/>
          <w:sz w:val="24"/>
          <w:szCs w:val="24"/>
          <w:lang w:eastAsia="en-US"/>
        </w:rPr>
        <w:t>Private Practice New Delhi, India</w:t>
      </w:r>
    </w:p>
    <w:p w14:paraId="5EAE606B" w14:textId="77777777" w:rsidR="001612D5" w:rsidRDefault="00000000">
      <w:pPr>
        <w:widowControl/>
        <w:numPr>
          <w:ilvl w:val="0"/>
          <w:numId w:val="1"/>
        </w:numPr>
        <w:autoSpaceDE w:val="0"/>
        <w:autoSpaceDN w:val="0"/>
        <w:adjustRightInd w:val="0"/>
        <w:spacing w:beforeLines="100" w:before="312" w:line="300" w:lineRule="atLeast"/>
        <w:ind w:left="240" w:hangingChars="100" w:hanging="240"/>
        <w:contextualSpacing/>
        <w:rPr>
          <w:rFonts w:ascii="Times New Roman" w:eastAsia="Calibri" w:hAnsi="Times New Roman"/>
          <w:color w:val="000000"/>
          <w:kern w:val="0"/>
          <w:sz w:val="24"/>
          <w:szCs w:val="24"/>
          <w:lang w:eastAsia="en-US"/>
        </w:rPr>
      </w:pPr>
      <w:r>
        <w:rPr>
          <w:rFonts w:ascii="Times New Roman" w:eastAsia="Calibri" w:hAnsi="Times New Roman"/>
          <w:color w:val="000000"/>
          <w:kern w:val="0"/>
          <w:sz w:val="24"/>
          <w:szCs w:val="24"/>
          <w:lang w:eastAsia="en-US"/>
        </w:rPr>
        <w:t>Director and Professor of the Career of Specialization in Oral Implantology at the Catholic University of Cordoba, Argentina</w:t>
      </w:r>
    </w:p>
    <w:p w14:paraId="62B5DD62" w14:textId="77777777" w:rsidR="001612D5" w:rsidRDefault="00000000">
      <w:pPr>
        <w:widowControl/>
        <w:numPr>
          <w:ilvl w:val="0"/>
          <w:numId w:val="1"/>
        </w:numPr>
        <w:adjustRightInd w:val="0"/>
        <w:snapToGrid w:val="0"/>
        <w:spacing w:line="300" w:lineRule="atLeast"/>
        <w:ind w:left="240" w:hangingChars="100" w:hanging="240"/>
        <w:rPr>
          <w:rFonts w:ascii="Times New Roman" w:eastAsia="Times New Roman" w:hAnsi="Times New Roman"/>
          <w:color w:val="000000"/>
          <w:kern w:val="0"/>
          <w:sz w:val="24"/>
          <w:szCs w:val="24"/>
          <w:lang w:val="es-ES" w:eastAsia="de-DE" w:bidi="en-US"/>
        </w:rPr>
      </w:pPr>
      <w:r>
        <w:rPr>
          <w:rFonts w:ascii="Times New Roman" w:eastAsia="Times New Roman" w:hAnsi="Times New Roman"/>
          <w:color w:val="000000"/>
          <w:kern w:val="0"/>
          <w:sz w:val="24"/>
          <w:szCs w:val="24"/>
          <w:lang w:val="es-ES" w:eastAsia="de-DE" w:bidi="en-US"/>
        </w:rPr>
        <w:t>Hospital Clinico Universitario Virgen de la Arrixaca, ctra, Madrid-Cartagena s/n, 30120, El Palmar, Murcia, Spain</w:t>
      </w:r>
    </w:p>
    <w:p w14:paraId="75FAE3BF" w14:textId="77777777" w:rsidR="001612D5" w:rsidRDefault="00000000">
      <w:pPr>
        <w:spacing w:beforeLines="100" w:before="312" w:line="300" w:lineRule="atLeast"/>
        <w:ind w:left="241" w:hangingChars="100" w:hanging="241"/>
        <w:rPr>
          <w:rFonts w:ascii="Times New Roman" w:hAnsi="Times New Roman"/>
          <w:b/>
          <w:sz w:val="24"/>
          <w:szCs w:val="24"/>
        </w:rPr>
      </w:pPr>
      <w:r w:rsidRPr="003764E2">
        <w:rPr>
          <w:rFonts w:ascii="Times New Roman" w:hAnsi="Times New Roman"/>
          <w:b/>
          <w:sz w:val="24"/>
          <w:szCs w:val="24"/>
        </w:rPr>
        <w:t>*</w:t>
      </w:r>
      <w:r w:rsidRPr="003764E2">
        <w:rPr>
          <w:rFonts w:ascii="Times New Roman" w:hAnsi="Times New Roman"/>
          <w:b/>
          <w:sz w:val="24"/>
          <w:szCs w:val="24"/>
        </w:rPr>
        <w:tab/>
        <w:t xml:space="preserve">Correspondence: </w:t>
      </w:r>
      <w:r w:rsidRPr="003764E2">
        <w:rPr>
          <w:rFonts w:ascii="Times New Roman" w:hAnsi="Times New Roman"/>
          <w:bCs/>
          <w:sz w:val="24"/>
          <w:szCs w:val="24"/>
        </w:rPr>
        <w:t>Email:</w:t>
      </w:r>
      <w:r w:rsidRPr="003764E2">
        <w:rPr>
          <w:rFonts w:ascii="Times New Roman" w:hAnsi="Times New Roman"/>
          <w:b/>
          <w:sz w:val="24"/>
          <w:szCs w:val="24"/>
        </w:rPr>
        <w:t xml:space="preserve"> </w:t>
      </w:r>
      <w:r>
        <w:rPr>
          <w:rFonts w:ascii="Times New Roman" w:hAnsi="Times New Roman"/>
          <w:sz w:val="24"/>
          <w:szCs w:val="24"/>
        </w:rPr>
        <w:t>jose.calvo@uautonoma.cl.</w:t>
      </w:r>
    </w:p>
    <w:p w14:paraId="35000CD9" w14:textId="07949425" w:rsidR="001612D5" w:rsidRPr="002E13CF" w:rsidRDefault="00000000">
      <w:pPr>
        <w:spacing w:beforeLines="100" w:before="312" w:line="300" w:lineRule="atLeast"/>
        <w:rPr>
          <w:rFonts w:ascii="Times New Roman" w:hAnsi="Times New Roman"/>
          <w:sz w:val="24"/>
          <w:szCs w:val="24"/>
          <w:lang w:bidi="en-US"/>
        </w:rPr>
      </w:pPr>
      <w:r>
        <w:rPr>
          <w:rFonts w:ascii="Times New Roman" w:hAnsi="Times New Roman"/>
          <w:b/>
          <w:sz w:val="24"/>
          <w:szCs w:val="24"/>
        </w:rPr>
        <w:t xml:space="preserve">Abstract: </w:t>
      </w:r>
      <w:r>
        <w:rPr>
          <w:rFonts w:ascii="Times New Roman" w:hAnsi="Times New Roman"/>
          <w:sz w:val="24"/>
          <w:szCs w:val="24"/>
          <w:lang w:bidi="en-US"/>
        </w:rPr>
        <w:t xml:space="preserve">The study’s main objective was to evaluate the bone density and osseointegration around dental implants with two different implant surfaces with early loading, using a micro-CT device. Twenty-four </w:t>
      </w:r>
      <w:proofErr w:type="spellStart"/>
      <w:r w:rsidR="002E13CF">
        <w:rPr>
          <w:rFonts w:ascii="Times New Roman" w:hAnsi="Times New Roman"/>
          <w:bCs/>
          <w:iCs/>
          <w:sz w:val="24"/>
          <w:szCs w:val="24"/>
          <w:lang w:bidi="en-US"/>
        </w:rPr>
        <w:t>Fixo</w:t>
      </w:r>
      <w:proofErr w:type="spellEnd"/>
      <w:r w:rsidR="002E13CF">
        <w:rPr>
          <w:rFonts w:ascii="Times New Roman" w:hAnsi="Times New Roman"/>
          <w:bCs/>
          <w:iCs/>
          <w:sz w:val="24"/>
          <w:szCs w:val="24"/>
          <w:lang w:bidi="en-US"/>
        </w:rPr>
        <w:t>®</w:t>
      </w:r>
      <w:r w:rsidR="002E13CF">
        <w:rPr>
          <w:rFonts w:ascii="Times New Roman" w:hAnsi="Times New Roman"/>
          <w:bCs/>
          <w:iCs/>
          <w:sz w:val="24"/>
          <w:szCs w:val="24"/>
          <w:lang w:bidi="en-US"/>
        </w:rPr>
        <w:t xml:space="preserve"> </w:t>
      </w:r>
      <w:r>
        <w:rPr>
          <w:rFonts w:ascii="Times New Roman" w:hAnsi="Times New Roman"/>
          <w:sz w:val="24"/>
          <w:szCs w:val="24"/>
          <w:lang w:bidi="en-US"/>
        </w:rPr>
        <w:t>implants (</w:t>
      </w:r>
      <w:proofErr w:type="spellStart"/>
      <w:r>
        <w:rPr>
          <w:rFonts w:ascii="Times New Roman" w:hAnsi="Times New Roman"/>
          <w:sz w:val="24"/>
          <w:szCs w:val="24"/>
          <w:lang w:bidi="en-US"/>
        </w:rPr>
        <w:t>Oxyimplant</w:t>
      </w:r>
      <w:proofErr w:type="spellEnd"/>
      <w:r>
        <w:rPr>
          <w:rFonts w:ascii="Times New Roman" w:hAnsi="Times New Roman"/>
          <w:sz w:val="24"/>
          <w:szCs w:val="24"/>
          <w:lang w:bidi="en-US"/>
        </w:rPr>
        <w:t xml:space="preserve">, </w:t>
      </w:r>
      <w:proofErr w:type="spellStart"/>
      <w:r>
        <w:rPr>
          <w:rFonts w:ascii="Times New Roman" w:hAnsi="Times New Roman"/>
          <w:sz w:val="24"/>
          <w:szCs w:val="24"/>
          <w:lang w:bidi="en-US"/>
        </w:rPr>
        <w:t>Biomec</w:t>
      </w:r>
      <w:proofErr w:type="spellEnd"/>
      <w:r>
        <w:rPr>
          <w:rFonts w:ascii="Times New Roman" w:hAnsi="Times New Roman"/>
          <w:sz w:val="24"/>
          <w:szCs w:val="24"/>
          <w:lang w:bidi="en-US"/>
        </w:rPr>
        <w:t xml:space="preserve"> Italy) 3.5 × 8.5 mm with Laser (test group) and acid-etched surface (control group) were placed in six young beagle dog’s mandibles. </w:t>
      </w:r>
      <w:proofErr w:type="spellStart"/>
      <w:r>
        <w:rPr>
          <w:rFonts w:ascii="Times New Roman" w:hAnsi="Times New Roman"/>
          <w:sz w:val="24"/>
          <w:szCs w:val="24"/>
          <w:lang w:bidi="en-US"/>
        </w:rPr>
        <w:t>MicroCT</w:t>
      </w:r>
      <w:proofErr w:type="spellEnd"/>
      <w:r>
        <w:rPr>
          <w:rFonts w:ascii="Times New Roman" w:hAnsi="Times New Roman"/>
          <w:sz w:val="24"/>
          <w:szCs w:val="24"/>
          <w:lang w:bidi="en-US"/>
        </w:rPr>
        <w:t xml:space="preserve"> (</w:t>
      </w:r>
      <w:proofErr w:type="spellStart"/>
      <w:r>
        <w:rPr>
          <w:rFonts w:ascii="Times New Roman" w:hAnsi="Times New Roman"/>
          <w:sz w:val="24"/>
          <w:szCs w:val="24"/>
          <w:lang w:bidi="en-US"/>
        </w:rPr>
        <w:t>Albira</w:t>
      </w:r>
      <w:proofErr w:type="spellEnd"/>
      <w:r>
        <w:rPr>
          <w:rFonts w:ascii="Times New Roman" w:hAnsi="Times New Roman"/>
          <w:sz w:val="24"/>
          <w:szCs w:val="24"/>
          <w:lang w:bidi="en-US"/>
        </w:rPr>
        <w:t xml:space="preserve">, </w:t>
      </w:r>
      <w:proofErr w:type="spellStart"/>
      <w:r>
        <w:rPr>
          <w:rFonts w:ascii="Times New Roman" w:hAnsi="Times New Roman"/>
          <w:sz w:val="24"/>
          <w:szCs w:val="24"/>
          <w:lang w:bidi="en-US"/>
        </w:rPr>
        <w:t>Germay</w:t>
      </w:r>
      <w:proofErr w:type="spellEnd"/>
      <w:r>
        <w:rPr>
          <w:rFonts w:ascii="Times New Roman" w:hAnsi="Times New Roman"/>
          <w:sz w:val="24"/>
          <w:szCs w:val="24"/>
          <w:lang w:bidi="en-US"/>
        </w:rPr>
        <w:t xml:space="preserve">) evaluation with seven regions of interest was defined in each implant on two different surfaces. A total of 168 sites were studied, and four </w:t>
      </w:r>
      <w:proofErr w:type="spellStart"/>
      <w:r>
        <w:rPr>
          <w:rFonts w:ascii="Times New Roman" w:hAnsi="Times New Roman"/>
          <w:sz w:val="24"/>
          <w:szCs w:val="24"/>
          <w:lang w:bidi="en-US"/>
        </w:rPr>
        <w:t>isocountours</w:t>
      </w:r>
      <w:proofErr w:type="spellEnd"/>
      <w:r>
        <w:rPr>
          <w:rFonts w:ascii="Times New Roman" w:hAnsi="Times New Roman"/>
          <w:sz w:val="24"/>
          <w:szCs w:val="24"/>
          <w:lang w:bidi="en-US"/>
        </w:rPr>
        <w:t xml:space="preserve"> were also done in each implant at coronal, transversal, and sagittal scanned areas to evaluate bone density location. The effect on the bone evaluation of two different surfaces variables was evaluated at the mesial and distal positions, showing crestal, medial, and apical types of bone density. Implant positions (P2, P3, P4, and M1) were also analyzed to determine bone density areas. The results of hard tissue density indicated a statistical significance for laser surface at crestal ROIs level (p &lt; 0.001) and position of implants (p = 0.032) </w:t>
      </w:r>
      <w:r>
        <w:rPr>
          <w:rFonts w:ascii="Times New Roman" w:hAnsi="Times New Roman"/>
          <w:sz w:val="24"/>
          <w:szCs w:val="24"/>
          <w:lang w:bidi="en-US"/>
        </w:rPr>
        <w:lastRenderedPageBreak/>
        <w:t xml:space="preserve">related to P3 areas compared to the acid-etched surface in </w:t>
      </w:r>
      <w:proofErr w:type="spellStart"/>
      <w:r>
        <w:rPr>
          <w:rFonts w:ascii="Times New Roman" w:hAnsi="Times New Roman"/>
          <w:bCs/>
          <w:iCs/>
          <w:sz w:val="24"/>
          <w:szCs w:val="24"/>
          <w:lang w:bidi="en-US"/>
        </w:rPr>
        <w:t>Fixo</w:t>
      </w:r>
      <w:proofErr w:type="spellEnd"/>
      <w:r>
        <w:rPr>
          <w:rFonts w:ascii="Times New Roman" w:hAnsi="Times New Roman"/>
          <w:bCs/>
          <w:iCs/>
          <w:sz w:val="24"/>
          <w:szCs w:val="24"/>
          <w:lang w:bidi="en-US"/>
        </w:rPr>
        <w:t xml:space="preserve">® </w:t>
      </w:r>
      <w:r>
        <w:rPr>
          <w:rFonts w:ascii="Times New Roman" w:hAnsi="Times New Roman"/>
          <w:sz w:val="24"/>
          <w:szCs w:val="24"/>
          <w:lang w:bidi="en-US"/>
        </w:rPr>
        <w:t xml:space="preserve">implants. Density D4 was the most common type of bone surrounding </w:t>
      </w:r>
      <w:proofErr w:type="spellStart"/>
      <w:r>
        <w:rPr>
          <w:rFonts w:ascii="Times New Roman" w:hAnsi="Times New Roman"/>
          <w:bCs/>
          <w:iCs/>
          <w:sz w:val="24"/>
          <w:szCs w:val="24"/>
          <w:lang w:bidi="en-US"/>
        </w:rPr>
        <w:t>Fixo</w:t>
      </w:r>
      <w:proofErr w:type="spellEnd"/>
      <w:r>
        <w:rPr>
          <w:rFonts w:ascii="Times New Roman" w:hAnsi="Times New Roman"/>
          <w:bCs/>
          <w:iCs/>
          <w:sz w:val="24"/>
          <w:szCs w:val="24"/>
          <w:lang w:bidi="en-US"/>
        </w:rPr>
        <w:t xml:space="preserve">® </w:t>
      </w:r>
      <w:r>
        <w:rPr>
          <w:rFonts w:ascii="Times New Roman" w:hAnsi="Times New Roman"/>
          <w:sz w:val="24"/>
          <w:szCs w:val="24"/>
          <w:lang w:bidi="en-US"/>
        </w:rPr>
        <w:t xml:space="preserve">standard implants at three different positions and density D3 was the most found on </w:t>
      </w:r>
      <w:proofErr w:type="spellStart"/>
      <w:r>
        <w:rPr>
          <w:rFonts w:ascii="Times New Roman" w:hAnsi="Times New Roman"/>
          <w:bCs/>
          <w:iCs/>
          <w:sz w:val="24"/>
          <w:szCs w:val="24"/>
          <w:lang w:bidi="en-US"/>
        </w:rPr>
        <w:t>Fixo</w:t>
      </w:r>
      <w:proofErr w:type="spellEnd"/>
      <w:r>
        <w:rPr>
          <w:rFonts w:ascii="Times New Roman" w:hAnsi="Times New Roman"/>
          <w:bCs/>
          <w:iCs/>
          <w:sz w:val="24"/>
          <w:szCs w:val="24"/>
          <w:lang w:bidi="en-US"/>
        </w:rPr>
        <w:t xml:space="preserve">® </w:t>
      </w:r>
      <w:r>
        <w:rPr>
          <w:rFonts w:ascii="Times New Roman" w:hAnsi="Times New Roman"/>
          <w:sz w:val="24"/>
          <w:szCs w:val="24"/>
          <w:lang w:bidi="en-US"/>
        </w:rPr>
        <w:t xml:space="preserve">laser surfaces. Micro-CT evaluation was a powerful tool for measuring the type of bone quality and location surrounding dental implants. Micro-CT study revealed that the most common density type found around </w:t>
      </w:r>
      <w:proofErr w:type="spellStart"/>
      <w:r w:rsidR="00390C35">
        <w:rPr>
          <w:rFonts w:ascii="Times New Roman" w:hAnsi="Times New Roman"/>
          <w:bCs/>
          <w:iCs/>
          <w:sz w:val="24"/>
          <w:szCs w:val="24"/>
          <w:lang w:bidi="en-US"/>
        </w:rPr>
        <w:t>Fixo</w:t>
      </w:r>
      <w:proofErr w:type="spellEnd"/>
      <w:r w:rsidR="00390C35">
        <w:rPr>
          <w:rFonts w:ascii="Times New Roman" w:hAnsi="Times New Roman"/>
          <w:bCs/>
          <w:iCs/>
          <w:sz w:val="24"/>
          <w:szCs w:val="24"/>
          <w:lang w:bidi="en-US"/>
        </w:rPr>
        <w:t xml:space="preserve">® </w:t>
      </w:r>
      <w:r>
        <w:rPr>
          <w:rFonts w:ascii="Times New Roman" w:hAnsi="Times New Roman"/>
          <w:sz w:val="24"/>
          <w:szCs w:val="24"/>
          <w:lang w:bidi="en-US"/>
        </w:rPr>
        <w:t xml:space="preserve">laser surface (test) implants was density D3 at the mesial and distal coronal part and density D4 at the middle and apical part. </w:t>
      </w:r>
      <w:proofErr w:type="spellStart"/>
      <w:r>
        <w:rPr>
          <w:rFonts w:ascii="Times New Roman" w:hAnsi="Times New Roman"/>
          <w:bCs/>
          <w:iCs/>
          <w:sz w:val="24"/>
          <w:szCs w:val="24"/>
          <w:lang w:bidi="en-US"/>
        </w:rPr>
        <w:t>Fixo</w:t>
      </w:r>
      <w:proofErr w:type="spellEnd"/>
      <w:r>
        <w:rPr>
          <w:rFonts w:ascii="Times New Roman" w:hAnsi="Times New Roman"/>
          <w:bCs/>
          <w:iCs/>
          <w:sz w:val="24"/>
          <w:szCs w:val="24"/>
          <w:lang w:bidi="en-US"/>
        </w:rPr>
        <w:t xml:space="preserve">® </w:t>
      </w:r>
      <w:r>
        <w:rPr>
          <w:rFonts w:ascii="Times New Roman" w:hAnsi="Times New Roman"/>
          <w:sz w:val="24"/>
          <w:szCs w:val="24"/>
          <w:lang w:bidi="en-US"/>
        </w:rPr>
        <w:t xml:space="preserve">implant with acid-etched surface showed the type of density D4 bone in hole implant at 3 months follow-up. It is a complementary histologic and </w:t>
      </w:r>
      <w:proofErr w:type="spellStart"/>
      <w:r>
        <w:rPr>
          <w:rFonts w:ascii="Times New Roman" w:hAnsi="Times New Roman"/>
          <w:sz w:val="24"/>
          <w:szCs w:val="24"/>
          <w:lang w:bidi="en-US"/>
        </w:rPr>
        <w:t>histomorphometric</w:t>
      </w:r>
      <w:proofErr w:type="spellEnd"/>
      <w:r>
        <w:rPr>
          <w:rFonts w:ascii="Times New Roman" w:hAnsi="Times New Roman"/>
          <w:sz w:val="24"/>
          <w:szCs w:val="24"/>
          <w:lang w:bidi="en-US"/>
        </w:rPr>
        <w:t xml:space="preserve"> analysis method for implant surrounding bone density.</w:t>
      </w:r>
    </w:p>
    <w:p w14:paraId="5DF9C16A" w14:textId="73C8E7C8" w:rsidR="001612D5" w:rsidRDefault="00000000">
      <w:pPr>
        <w:spacing w:beforeLines="100" w:before="312" w:line="300" w:lineRule="atLeast"/>
        <w:rPr>
          <w:rFonts w:ascii="Times New Roman" w:hAnsi="Times New Roman"/>
          <w:b/>
          <w:sz w:val="24"/>
          <w:szCs w:val="24"/>
        </w:rPr>
      </w:pPr>
      <w:r>
        <w:rPr>
          <w:rFonts w:ascii="Times New Roman" w:hAnsi="Times New Roman"/>
          <w:b/>
          <w:sz w:val="24"/>
          <w:szCs w:val="24"/>
        </w:rPr>
        <w:t xml:space="preserve">Keywords: </w:t>
      </w:r>
      <w:r>
        <w:rPr>
          <w:rFonts w:ascii="Times New Roman" w:hAnsi="Times New Roman"/>
          <w:bCs/>
          <w:sz w:val="24"/>
          <w:szCs w:val="24"/>
        </w:rPr>
        <w:t xml:space="preserve">one-piece implants; </w:t>
      </w:r>
      <w:proofErr w:type="spellStart"/>
      <w:r w:rsidR="00390C35">
        <w:rPr>
          <w:rFonts w:ascii="Times New Roman" w:hAnsi="Times New Roman"/>
          <w:bCs/>
          <w:sz w:val="24"/>
          <w:szCs w:val="24"/>
        </w:rPr>
        <w:t>fixo</w:t>
      </w:r>
      <w:proofErr w:type="spellEnd"/>
      <w:r w:rsidR="00390C35">
        <w:rPr>
          <w:rFonts w:ascii="Times New Roman" w:hAnsi="Times New Roman"/>
          <w:bCs/>
          <w:sz w:val="24"/>
          <w:szCs w:val="24"/>
        </w:rPr>
        <w:t xml:space="preserve"> </w:t>
      </w:r>
      <w:r>
        <w:rPr>
          <w:rFonts w:ascii="Times New Roman" w:hAnsi="Times New Roman"/>
          <w:bCs/>
          <w:sz w:val="24"/>
          <w:szCs w:val="24"/>
        </w:rPr>
        <w:t xml:space="preserve">implants; laser surface; acid-etched surface; </w:t>
      </w:r>
      <w:r w:rsidR="00390C35">
        <w:rPr>
          <w:rFonts w:ascii="Times New Roman" w:hAnsi="Times New Roman"/>
          <w:bCs/>
          <w:sz w:val="24"/>
          <w:szCs w:val="24"/>
        </w:rPr>
        <w:t>Hounsfield</w:t>
      </w:r>
      <w:r>
        <w:rPr>
          <w:rFonts w:ascii="Times New Roman" w:hAnsi="Times New Roman"/>
          <w:bCs/>
          <w:sz w:val="24"/>
          <w:szCs w:val="24"/>
        </w:rPr>
        <w:t xml:space="preserve"> unit; micro-computed tomography; micro-CT</w:t>
      </w:r>
    </w:p>
    <w:p w14:paraId="517DDE84" w14:textId="77777777" w:rsidR="001612D5" w:rsidRDefault="001612D5">
      <w:pPr>
        <w:pBdr>
          <w:bottom w:val="single" w:sz="24" w:space="1" w:color="auto"/>
        </w:pBdr>
        <w:spacing w:line="320" w:lineRule="atLeast"/>
        <w:rPr>
          <w:rFonts w:ascii="Times New Roman" w:hAnsi="Times New Roman"/>
        </w:rPr>
      </w:pPr>
    </w:p>
    <w:p w14:paraId="64CE5414" w14:textId="77777777" w:rsidR="001612D5" w:rsidRDefault="00000000">
      <w:pPr>
        <w:pStyle w:val="Prrafodelista"/>
        <w:numPr>
          <w:ilvl w:val="0"/>
          <w:numId w:val="2"/>
        </w:numPr>
        <w:spacing w:beforeLines="100" w:before="312" w:afterLines="100" w:after="312" w:line="300" w:lineRule="atLeast"/>
        <w:ind w:left="0" w:firstLineChars="0" w:firstLine="0"/>
        <w:rPr>
          <w:rFonts w:ascii="Times New Roman" w:hAnsi="Times New Roman"/>
          <w:b/>
          <w:sz w:val="24"/>
          <w:szCs w:val="24"/>
        </w:rPr>
      </w:pPr>
      <w:r>
        <w:rPr>
          <w:rFonts w:ascii="Times New Roman" w:hAnsi="Times New Roman"/>
          <w:b/>
          <w:sz w:val="24"/>
          <w:szCs w:val="24"/>
        </w:rPr>
        <w:t>Introduction</w:t>
      </w:r>
    </w:p>
    <w:p w14:paraId="5A7C7335" w14:textId="1F140B7D" w:rsidR="001612D5" w:rsidRDefault="00000000">
      <w:pPr>
        <w:pStyle w:val="NormalWeb"/>
        <w:spacing w:before="0" w:beforeAutospacing="0" w:after="0" w:afterAutospacing="0" w:line="300" w:lineRule="atLeast"/>
        <w:ind w:firstLineChars="200" w:firstLine="480"/>
        <w:jc w:val="both"/>
      </w:pPr>
      <w:r>
        <w:t>Nowadays</w:t>
      </w:r>
      <w:r>
        <w:rPr>
          <w:rFonts w:hint="cs"/>
        </w:rPr>
        <w:t xml:space="preserve">, to assess </w:t>
      </w:r>
      <w:r>
        <w:t>virtual biomechanics</w:t>
      </w:r>
      <w:r>
        <w:rPr>
          <w:rFonts w:hint="cs"/>
        </w:rPr>
        <w:t xml:space="preserve"> testing </w:t>
      </w:r>
      <w:r>
        <w:t xml:space="preserve">for dental implants </w:t>
      </w:r>
      <w:r>
        <w:rPr>
          <w:rFonts w:hint="cs"/>
        </w:rPr>
        <w:t xml:space="preserve">approach </w:t>
      </w:r>
      <w:r>
        <w:t>is</w:t>
      </w:r>
      <w:r>
        <w:rPr>
          <w:rFonts w:hint="cs"/>
        </w:rPr>
        <w:t xml:space="preserve"> based on microcomputed tomography (</w:t>
      </w:r>
      <w:r>
        <w:t>micro-C</w:t>
      </w:r>
      <w:r>
        <w:rPr>
          <w:rFonts w:hint="cs"/>
        </w:rPr>
        <w:t>T</w:t>
      </w:r>
      <w:r>
        <w:t xml:space="preserve"> </w:t>
      </w:r>
      <w:r>
        <w:rPr>
          <w:rFonts w:hint="cs"/>
        </w:rPr>
        <w:t xml:space="preserve">or </w:t>
      </w:r>
      <w:proofErr w:type="spellStart"/>
      <w:r>
        <w:rPr>
          <w:rFonts w:hint="cs"/>
        </w:rPr>
        <w:t>μCT</w:t>
      </w:r>
      <w:proofErr w:type="spellEnd"/>
      <w:r>
        <w:rPr>
          <w:rFonts w:hint="cs"/>
        </w:rPr>
        <w:t>) data, providing noninvasive methods for determining t</w:t>
      </w:r>
      <w:r>
        <w:t xml:space="preserve">rabecular and </w:t>
      </w:r>
      <w:r>
        <w:rPr>
          <w:rFonts w:hint="cs"/>
        </w:rPr>
        <w:t>cortical bone stiffness and strength.</w:t>
      </w:r>
      <w:r>
        <w:t xml:space="preserve"> </w:t>
      </w:r>
      <w:r>
        <w:rPr>
          <w:rFonts w:hint="cs"/>
        </w:rPr>
        <w:t xml:space="preserve">Those </w:t>
      </w:r>
      <w:r>
        <w:t>v</w:t>
      </w:r>
      <w:r>
        <w:rPr>
          <w:rFonts w:hint="cs"/>
        </w:rPr>
        <w:t>irtual testing out</w:t>
      </w:r>
      <w:r>
        <w:t>comes</w:t>
      </w:r>
      <w:r>
        <w:rPr>
          <w:rFonts w:hint="cs"/>
        </w:rPr>
        <w:t xml:space="preserve"> could be used to predict global elastic-plastic properties and may reduce the cost, time, and a number of test specimens in performing physical experiments</w:t>
      </w:r>
      <w:r>
        <w:t xml:space="preserve"> </w:t>
      </w:r>
      <w:r>
        <w:rPr>
          <w:lang w:bidi="en-US"/>
        </w:rPr>
        <w:t>[1]</w:t>
      </w:r>
      <w:r>
        <w:rPr>
          <w:rFonts w:hint="cs"/>
        </w:rPr>
        <w:t xml:space="preserve">. </w:t>
      </w:r>
      <w:r>
        <w:t xml:space="preserve">Clinical practices have cone beam CBCT, which </w:t>
      </w:r>
      <w:r>
        <w:rPr>
          <w:rFonts w:hint="cs"/>
        </w:rPr>
        <w:t xml:space="preserve">affords a more localized assessment of the maxillofacial region, including the dentition, </w:t>
      </w:r>
      <w:r>
        <w:t>reducing</w:t>
      </w:r>
      <w:r>
        <w:rPr>
          <w:rFonts w:hint="cs"/>
        </w:rPr>
        <w:t xml:space="preserve"> patient</w:t>
      </w:r>
      <w:r>
        <w:t>’</w:t>
      </w:r>
      <w:r>
        <w:rPr>
          <w:rFonts w:hint="cs"/>
        </w:rPr>
        <w:t>s X-ray exposure. As clinical use of CT</w:t>
      </w:r>
      <w:r>
        <w:t xml:space="preserve"> </w:t>
      </w:r>
      <w:r>
        <w:rPr>
          <w:rFonts w:hint="cs"/>
        </w:rPr>
        <w:t xml:space="preserve">technologies has grown over the past decade or more, so have the advancements in high-resolution </w:t>
      </w:r>
      <w:r>
        <w:t>micro-C</w:t>
      </w:r>
      <w:r>
        <w:rPr>
          <w:rFonts w:hint="cs"/>
        </w:rPr>
        <w:t xml:space="preserve">T </w:t>
      </w:r>
      <w:r>
        <w:t>i</w:t>
      </w:r>
      <w:r>
        <w:rPr>
          <w:rFonts w:hint="cs"/>
        </w:rPr>
        <w:t>maging for use in both primary and preclinical research settings</w:t>
      </w:r>
      <w:r>
        <w:rPr>
          <w:lang w:bidi="en-US"/>
        </w:rPr>
        <w:t xml:space="preserve"> [2].</w:t>
      </w:r>
      <w:r>
        <w:rPr>
          <w:rFonts w:hint="cs"/>
        </w:rPr>
        <w:t xml:space="preserve"> </w:t>
      </w:r>
      <w:r>
        <w:rPr>
          <w:lang w:bidi="en-US"/>
        </w:rPr>
        <w:t xml:space="preserve">Computed tomography (micro-CT) imaging is a ubiquitous, cost-effective, and noninvasive three-dimensional imaging modality advancements established that micro-CT imaging at the forefront of preclinical research, able to provide anatomical, functional, and even molecular information while serving as a testbench for translational research [3]. The design of an implant must have long threads with higher thread depth in the apical area for primary stability, a long furrow for bone debris, and a rough surface will improve osseointegration in immediate implantation. All these features are essential to increase the load transfer to cancellous bone and decrease load transfer to the </w:t>
      </w:r>
      <w:r>
        <w:rPr>
          <w:spacing w:val="-3"/>
          <w:lang w:bidi="en-US"/>
        </w:rPr>
        <w:t xml:space="preserve">crestal cortical bone [4–6]. The position of the implants plays a vital role in implants placed in a </w:t>
      </w:r>
      <w:proofErr w:type="spellStart"/>
      <w:r>
        <w:rPr>
          <w:spacing w:val="-3"/>
          <w:lang w:bidi="en-US"/>
        </w:rPr>
        <w:t>subcrestal</w:t>
      </w:r>
      <w:proofErr w:type="spellEnd"/>
      <w:r>
        <w:rPr>
          <w:spacing w:val="-3"/>
          <w:lang w:bidi="en-US"/>
        </w:rPr>
        <w:t xml:space="preserve"> position having less crestal bone resorption when compared with implants placed </w:t>
      </w:r>
      <w:proofErr w:type="spellStart"/>
      <w:r>
        <w:rPr>
          <w:spacing w:val="-3"/>
          <w:lang w:bidi="en-US"/>
        </w:rPr>
        <w:t>crestally</w:t>
      </w:r>
      <w:proofErr w:type="spellEnd"/>
      <w:r>
        <w:rPr>
          <w:spacing w:val="-3"/>
          <w:lang w:bidi="en-US"/>
        </w:rPr>
        <w:t xml:space="preserve"> [7–11].</w:t>
      </w:r>
      <w:r>
        <w:rPr>
          <w:lang w:bidi="en-US"/>
        </w:rPr>
        <w:t xml:space="preserve"> The first </w:t>
      </w:r>
      <w:proofErr w:type="spellStart"/>
      <w:r>
        <w:rPr>
          <w:lang w:bidi="en-US"/>
        </w:rPr>
        <w:t>microCT</w:t>
      </w:r>
      <w:proofErr w:type="spellEnd"/>
      <w:r>
        <w:rPr>
          <w:lang w:bidi="en-US"/>
        </w:rPr>
        <w:t xml:space="preserve">-based data of the zygomatic bone compared with the anterior and posterior maxilla in a Caucasian population was presented. The zygomatic trabecular bone quality was poor compared with the maxilla. The present intra-individual analysis proved a comparable trabecular bone quality of the zygomatic bone with the anterior maxilla [12]. Micro-CT already offers a powerful new tool for the 3D visualization and quantification of the canal network within human cortical bone [13]. One-piece implants as a single unit and </w:t>
      </w:r>
      <w:proofErr w:type="spellStart"/>
      <w:r>
        <w:rPr>
          <w:lang w:bidi="en-US"/>
        </w:rPr>
        <w:t>monoblock</w:t>
      </w:r>
      <w:proofErr w:type="spellEnd"/>
      <w:r>
        <w:rPr>
          <w:lang w:bidi="en-US"/>
        </w:rPr>
        <w:t xml:space="preserve"> with healing prosthetic parts manufactured as one unit are one of the most remarkable advantages offered by one-piece implants, immediate placement with immediate restoration brings patient satisfaction in the end [14,15]. Also, one-piece implant geometry may have an impact on marginal bone loss, related to geometric thread parameters establishment of a </w:t>
      </w:r>
      <w:r>
        <w:rPr>
          <w:spacing w:val="2"/>
          <w:lang w:bidi="en-US"/>
        </w:rPr>
        <w:t>biologic width [9], vertical soft tissue thickness [16], implant positioning relative to the alveolar crest [1</w:t>
      </w:r>
      <w:r w:rsidR="00351170">
        <w:rPr>
          <w:spacing w:val="2"/>
          <w:lang w:bidi="en-US"/>
        </w:rPr>
        <w:t>1</w:t>
      </w:r>
      <w:r>
        <w:rPr>
          <w:spacing w:val="2"/>
          <w:lang w:bidi="en-US"/>
        </w:rPr>
        <w:t>,1</w:t>
      </w:r>
      <w:r w:rsidR="00351170">
        <w:rPr>
          <w:spacing w:val="2"/>
          <w:lang w:bidi="en-US"/>
        </w:rPr>
        <w:t>7</w:t>
      </w:r>
      <w:r>
        <w:rPr>
          <w:spacing w:val="2"/>
          <w:lang w:bidi="en-US"/>
        </w:rPr>
        <w:t>]</w:t>
      </w:r>
      <w:r>
        <w:rPr>
          <w:lang w:bidi="en-US"/>
        </w:rPr>
        <w:t>, implant collar design [8,1</w:t>
      </w:r>
      <w:r w:rsidR="00351170">
        <w:rPr>
          <w:lang w:bidi="en-US"/>
        </w:rPr>
        <w:t>8</w:t>
      </w:r>
      <w:r>
        <w:rPr>
          <w:lang w:bidi="en-US"/>
        </w:rPr>
        <w:t>], smoke [</w:t>
      </w:r>
      <w:r w:rsidR="00351170">
        <w:rPr>
          <w:lang w:bidi="en-US"/>
        </w:rPr>
        <w:t>19</w:t>
      </w:r>
      <w:r>
        <w:rPr>
          <w:lang w:bidi="en-US"/>
        </w:rPr>
        <w:t>], and peri-implantitis [2</w:t>
      </w:r>
      <w:r w:rsidR="00351170">
        <w:rPr>
          <w:lang w:bidi="en-US"/>
        </w:rPr>
        <w:t>0</w:t>
      </w:r>
      <w:r>
        <w:rPr>
          <w:lang w:bidi="en-US"/>
        </w:rPr>
        <w:t>,2</w:t>
      </w:r>
      <w:r w:rsidR="00351170">
        <w:rPr>
          <w:lang w:bidi="en-US"/>
        </w:rPr>
        <w:t>1</w:t>
      </w:r>
      <w:r>
        <w:rPr>
          <w:lang w:bidi="en-US"/>
        </w:rPr>
        <w:t xml:space="preserve">]. In its different </w:t>
      </w:r>
      <w:r>
        <w:rPr>
          <w:lang w:bidi="en-US"/>
        </w:rPr>
        <w:lastRenderedPageBreak/>
        <w:t>forms, x-ray-based computed tomography (CT) represents the gold standard technology for the noninvasive imaging and quantification of mineralized tissues.</w:t>
      </w:r>
      <w:r>
        <w:t xml:space="preserve"> </w:t>
      </w:r>
      <w:r>
        <w:rPr>
          <w:rFonts w:hint="cs"/>
        </w:rPr>
        <w:t xml:space="preserve">Significant correlations were found between Hounsfield density obtained by </w:t>
      </w:r>
      <w:r>
        <w:t>computed tomography</w:t>
      </w:r>
      <w:r>
        <w:rPr>
          <w:rFonts w:hint="cs"/>
        </w:rPr>
        <w:t xml:space="preserve">, and bone mass determined by </w:t>
      </w:r>
      <w:r>
        <w:t>micro-C</w:t>
      </w:r>
      <w:r>
        <w:rPr>
          <w:rFonts w:hint="cs"/>
        </w:rPr>
        <w:t>T</w:t>
      </w:r>
      <w:r>
        <w:t>,</w:t>
      </w:r>
      <w:r>
        <w:rPr>
          <w:rFonts w:hint="cs"/>
        </w:rPr>
        <w:t xml:space="preserve"> but not with DXA values. Cortical thickness measurements correlated well with CT and </w:t>
      </w:r>
      <w:r>
        <w:t xml:space="preserve">micro-CT </w:t>
      </w:r>
      <w:r>
        <w:rPr>
          <w:lang w:bidi="en-US"/>
        </w:rPr>
        <w:t>[2</w:t>
      </w:r>
      <w:r w:rsidR="00351170">
        <w:rPr>
          <w:lang w:bidi="en-US"/>
        </w:rPr>
        <w:t>2</w:t>
      </w:r>
      <w:r>
        <w:rPr>
          <w:lang w:bidi="en-US"/>
        </w:rPr>
        <w:t>]. In clinical practice, CT remains the most appropriate routine for bone qualitative and quantitative evaluation at the mandible. This ex vivo study confirms that mandibular bone status does not reflect the axial skeletal one and assists in placing implants with dental prostheses in old or osteoporotic patients [2</w:t>
      </w:r>
      <w:r w:rsidR="00351170">
        <w:rPr>
          <w:lang w:bidi="en-US"/>
        </w:rPr>
        <w:t>2</w:t>
      </w:r>
      <w:r>
        <w:rPr>
          <w:lang w:bidi="en-US"/>
        </w:rPr>
        <w:t>].</w:t>
      </w:r>
    </w:p>
    <w:p w14:paraId="735CA054" w14:textId="17E11CC2" w:rsidR="001612D5" w:rsidRDefault="00000000">
      <w:pPr>
        <w:spacing w:line="300" w:lineRule="atLeast"/>
        <w:ind w:firstLineChars="200" w:firstLine="480"/>
        <w:rPr>
          <w:rFonts w:ascii="Times New Roman" w:hAnsi="Times New Roman"/>
          <w:sz w:val="24"/>
          <w:szCs w:val="24"/>
          <w:lang w:bidi="en-US"/>
        </w:rPr>
      </w:pPr>
      <w:r>
        <w:rPr>
          <w:rFonts w:ascii="Times New Roman" w:hAnsi="Times New Roman"/>
          <w:sz w:val="24"/>
          <w:szCs w:val="24"/>
          <w:lang w:bidi="en-US"/>
        </w:rPr>
        <w:t>The evaluation of bone formation related to these implants was the CBTC, the only diagnostically justifiable imaging technique that allows approximate conclusions about the bone density surrounding implants. Bone density (BD) can be assessed using Hounsfield units (HU), which are directly related to the tissue attenuation coefficient [2</w:t>
      </w:r>
      <w:r w:rsidR="00351170">
        <w:rPr>
          <w:rFonts w:ascii="Times New Roman" w:hAnsi="Times New Roman"/>
          <w:sz w:val="24"/>
          <w:szCs w:val="24"/>
          <w:lang w:bidi="en-US"/>
        </w:rPr>
        <w:t>3</w:t>
      </w:r>
      <w:r>
        <w:rPr>
          <w:rFonts w:ascii="Times New Roman" w:hAnsi="Times New Roman"/>
          <w:sz w:val="24"/>
          <w:szCs w:val="24"/>
          <w:lang w:bidi="en-US"/>
        </w:rPr>
        <w:t>]. Lopez-Valverde et al. evaluated surfaces coatings with chitosan or melatonin in peri-implant bone density with micro-CT evaluation, which proved to be a very useful method for the measurement of Bone density around the implants [2</w:t>
      </w:r>
      <w:r w:rsidR="00351170">
        <w:rPr>
          <w:rFonts w:ascii="Times New Roman" w:hAnsi="Times New Roman"/>
          <w:sz w:val="24"/>
          <w:szCs w:val="24"/>
          <w:lang w:bidi="en-US"/>
        </w:rPr>
        <w:t>4</w:t>
      </w:r>
      <w:r>
        <w:rPr>
          <w:rFonts w:ascii="Times New Roman" w:hAnsi="Times New Roman"/>
          <w:sz w:val="24"/>
          <w:szCs w:val="24"/>
          <w:lang w:bidi="en-US"/>
        </w:rPr>
        <w:t>]. X-ray microtomography (</w:t>
      </w:r>
      <w:proofErr w:type="spellStart"/>
      <w:r>
        <w:rPr>
          <w:rFonts w:ascii="Times New Roman" w:hAnsi="Times New Roman"/>
          <w:sz w:val="24"/>
          <w:szCs w:val="24"/>
          <w:lang w:bidi="en-US"/>
        </w:rPr>
        <w:t>microCT</w:t>
      </w:r>
      <w:proofErr w:type="spellEnd"/>
      <w:r>
        <w:rPr>
          <w:rFonts w:ascii="Times New Roman" w:hAnsi="Times New Roman"/>
          <w:sz w:val="24"/>
          <w:szCs w:val="24"/>
          <w:lang w:bidi="en-US"/>
        </w:rPr>
        <w:t>) is a conservative technique used to evaluate bone morphometry and bone quality, and several studies have demonstrated its usefulness in quantifying bone tissue [2</w:t>
      </w:r>
      <w:r w:rsidR="00351170">
        <w:rPr>
          <w:rFonts w:ascii="Times New Roman" w:hAnsi="Times New Roman"/>
          <w:sz w:val="24"/>
          <w:szCs w:val="24"/>
          <w:lang w:bidi="en-US"/>
        </w:rPr>
        <w:t>5</w:t>
      </w:r>
      <w:r>
        <w:rPr>
          <w:rFonts w:ascii="Times New Roman" w:hAnsi="Times New Roman"/>
          <w:sz w:val="24"/>
          <w:szCs w:val="24"/>
          <w:lang w:bidi="en-US"/>
        </w:rPr>
        <w:t>,2</w:t>
      </w:r>
      <w:r w:rsidR="00351170">
        <w:rPr>
          <w:rFonts w:ascii="Times New Roman" w:hAnsi="Times New Roman"/>
          <w:sz w:val="24"/>
          <w:szCs w:val="24"/>
          <w:lang w:bidi="en-US"/>
        </w:rPr>
        <w:t>6</w:t>
      </w:r>
      <w:r>
        <w:rPr>
          <w:rFonts w:ascii="Times New Roman" w:hAnsi="Times New Roman"/>
          <w:sz w:val="24"/>
          <w:szCs w:val="24"/>
          <w:lang w:bidi="en-US"/>
        </w:rPr>
        <w:t>]. Micro-CT was developed in the early 1980s with a high spatial resolution for smaller volumes than CT. voxels, making it possible to measure trabecular and cortical bone by assessing the qualitative and quantitative morphometry around dental implants [2</w:t>
      </w:r>
      <w:r w:rsidR="00351170">
        <w:rPr>
          <w:rFonts w:ascii="Times New Roman" w:hAnsi="Times New Roman"/>
          <w:sz w:val="24"/>
          <w:szCs w:val="24"/>
          <w:lang w:bidi="en-US"/>
        </w:rPr>
        <w:t>7</w:t>
      </w:r>
      <w:r>
        <w:rPr>
          <w:rFonts w:ascii="Times New Roman" w:hAnsi="Times New Roman"/>
          <w:sz w:val="24"/>
          <w:szCs w:val="24"/>
          <w:lang w:bidi="en-US"/>
        </w:rPr>
        <w:t>,2</w:t>
      </w:r>
      <w:r w:rsidR="00351170">
        <w:rPr>
          <w:rFonts w:ascii="Times New Roman" w:hAnsi="Times New Roman"/>
          <w:sz w:val="24"/>
          <w:szCs w:val="24"/>
          <w:lang w:bidi="en-US"/>
        </w:rPr>
        <w:t>8</w:t>
      </w:r>
      <w:r>
        <w:rPr>
          <w:rFonts w:ascii="Times New Roman" w:hAnsi="Times New Roman"/>
          <w:sz w:val="24"/>
          <w:szCs w:val="24"/>
          <w:lang w:bidi="en-US"/>
        </w:rPr>
        <w:t xml:space="preserve">]. Micro-CT compared with CBCT devices showed similar </w:t>
      </w:r>
      <w:proofErr w:type="spellStart"/>
      <w:r>
        <w:rPr>
          <w:rFonts w:ascii="Times New Roman" w:hAnsi="Times New Roman"/>
          <w:sz w:val="24"/>
          <w:szCs w:val="24"/>
          <w:lang w:bidi="en-US"/>
        </w:rPr>
        <w:t>BvTv</w:t>
      </w:r>
      <w:proofErr w:type="spellEnd"/>
      <w:r>
        <w:rPr>
          <w:rFonts w:ascii="Times New Roman" w:hAnsi="Times New Roman"/>
          <w:sz w:val="24"/>
          <w:szCs w:val="24"/>
          <w:lang w:bidi="en-US"/>
        </w:rPr>
        <w:t xml:space="preserve"> values with no statistical difference, showing that the CBCT device could assess trabecular bone with under or overestimated values compared to µCT [</w:t>
      </w:r>
      <w:r w:rsidR="00351170">
        <w:rPr>
          <w:rFonts w:ascii="Times New Roman" w:hAnsi="Times New Roman"/>
          <w:sz w:val="24"/>
          <w:szCs w:val="24"/>
          <w:lang w:bidi="en-US"/>
        </w:rPr>
        <w:t>29</w:t>
      </w:r>
      <w:r>
        <w:rPr>
          <w:rFonts w:ascii="Times New Roman" w:hAnsi="Times New Roman"/>
          <w:sz w:val="24"/>
          <w:szCs w:val="24"/>
          <w:lang w:bidi="en-US"/>
        </w:rPr>
        <w:t>].</w:t>
      </w:r>
    </w:p>
    <w:p w14:paraId="437F9BD2" w14:textId="19939EC0" w:rsidR="001612D5" w:rsidRDefault="00000000">
      <w:pPr>
        <w:spacing w:line="300" w:lineRule="atLeast"/>
        <w:ind w:firstLineChars="200" w:firstLine="480"/>
        <w:rPr>
          <w:rFonts w:ascii="Times New Roman" w:hAnsi="Times New Roman"/>
          <w:sz w:val="24"/>
          <w:szCs w:val="24"/>
          <w:lang w:bidi="en-US"/>
        </w:rPr>
      </w:pPr>
      <w:r>
        <w:rPr>
          <w:rFonts w:ascii="Times New Roman" w:hAnsi="Times New Roman"/>
          <w:sz w:val="24"/>
          <w:szCs w:val="24"/>
          <w:lang w:bidi="en-US"/>
        </w:rPr>
        <w:t xml:space="preserve">The correlation between micro-CT and MSCT and </w:t>
      </w:r>
      <w:proofErr w:type="spellStart"/>
      <w:r>
        <w:rPr>
          <w:rFonts w:ascii="Times New Roman" w:hAnsi="Times New Roman"/>
          <w:sz w:val="24"/>
          <w:szCs w:val="24"/>
          <w:lang w:bidi="en-US"/>
        </w:rPr>
        <w:t>multislice</w:t>
      </w:r>
      <w:proofErr w:type="spellEnd"/>
      <w:r>
        <w:rPr>
          <w:rFonts w:ascii="Times New Roman" w:hAnsi="Times New Roman"/>
          <w:sz w:val="24"/>
          <w:szCs w:val="24"/>
          <w:lang w:bidi="en-US"/>
        </w:rPr>
        <w:t xml:space="preserve"> computed tomography (MSCT) suggested that bone density measurements could be used to estimate bone microstructural parameters in bone quality assessment at the implant site or in vivo studies [</w:t>
      </w:r>
      <w:r w:rsidR="00351170">
        <w:rPr>
          <w:rFonts w:ascii="Times New Roman" w:hAnsi="Times New Roman"/>
          <w:sz w:val="24"/>
          <w:szCs w:val="24"/>
          <w:lang w:bidi="en-US"/>
        </w:rPr>
        <w:t>29</w:t>
      </w:r>
      <w:r>
        <w:rPr>
          <w:rFonts w:ascii="Times New Roman" w:hAnsi="Times New Roman"/>
          <w:sz w:val="24"/>
          <w:szCs w:val="24"/>
          <w:lang w:bidi="en-US"/>
        </w:rPr>
        <w:t>–3</w:t>
      </w:r>
      <w:r w:rsidR="00351170">
        <w:rPr>
          <w:rFonts w:ascii="Times New Roman" w:hAnsi="Times New Roman"/>
          <w:sz w:val="24"/>
          <w:szCs w:val="24"/>
          <w:lang w:bidi="en-US"/>
        </w:rPr>
        <w:t>1</w:t>
      </w:r>
      <w:r>
        <w:rPr>
          <w:rFonts w:ascii="Times New Roman" w:hAnsi="Times New Roman"/>
          <w:sz w:val="24"/>
          <w:szCs w:val="24"/>
          <w:lang w:bidi="en-US"/>
        </w:rPr>
        <w:t xml:space="preserve">]. Therefore, the main objective of our study is to establish a protocol for measuring the bone density around one type of implant with two different treatment surfaces and evaluate how crestal and </w:t>
      </w:r>
      <w:proofErr w:type="spellStart"/>
      <w:r>
        <w:rPr>
          <w:rFonts w:ascii="Times New Roman" w:hAnsi="Times New Roman"/>
          <w:sz w:val="24"/>
          <w:szCs w:val="24"/>
          <w:lang w:bidi="en-US"/>
        </w:rPr>
        <w:t>subcrestal</w:t>
      </w:r>
      <w:proofErr w:type="spellEnd"/>
      <w:r>
        <w:rPr>
          <w:rFonts w:ascii="Times New Roman" w:hAnsi="Times New Roman"/>
          <w:sz w:val="24"/>
          <w:szCs w:val="24"/>
          <w:lang w:bidi="en-US"/>
        </w:rPr>
        <w:t xml:space="preserve"> placement influences crestal bone loss obtained from the micro-CT evaluation in beagle dogs at three months follow-up.</w:t>
      </w:r>
    </w:p>
    <w:p w14:paraId="118990F2" w14:textId="77777777" w:rsidR="001612D5" w:rsidRDefault="00000000">
      <w:pPr>
        <w:pStyle w:val="Prrafodelista"/>
        <w:numPr>
          <w:ilvl w:val="0"/>
          <w:numId w:val="2"/>
        </w:numPr>
        <w:spacing w:beforeLines="100" w:before="312" w:afterLines="100" w:after="312" w:line="300" w:lineRule="atLeast"/>
        <w:ind w:left="0" w:firstLineChars="0" w:firstLine="0"/>
        <w:rPr>
          <w:rFonts w:ascii="Times New Roman" w:hAnsi="Times New Roman"/>
          <w:b/>
          <w:sz w:val="24"/>
          <w:szCs w:val="24"/>
        </w:rPr>
      </w:pPr>
      <w:r>
        <w:rPr>
          <w:rFonts w:ascii="Times New Roman" w:hAnsi="Times New Roman"/>
          <w:b/>
          <w:sz w:val="24"/>
          <w:szCs w:val="24"/>
        </w:rPr>
        <w:t>Materials and methods</w:t>
      </w:r>
    </w:p>
    <w:p w14:paraId="658A5C98" w14:textId="77777777" w:rsidR="001612D5" w:rsidRDefault="00000000">
      <w:pPr>
        <w:pStyle w:val="Prrafodelista"/>
        <w:numPr>
          <w:ilvl w:val="1"/>
          <w:numId w:val="2"/>
        </w:numPr>
        <w:spacing w:beforeLines="100" w:before="312" w:afterLines="100" w:after="312" w:line="300" w:lineRule="atLeast"/>
        <w:ind w:left="0" w:firstLineChars="0" w:firstLine="0"/>
        <w:rPr>
          <w:rFonts w:ascii="Times New Roman" w:hAnsi="Times New Roman"/>
          <w:i/>
          <w:sz w:val="24"/>
          <w:szCs w:val="24"/>
        </w:rPr>
      </w:pPr>
      <w:r>
        <w:rPr>
          <w:rFonts w:ascii="Times New Roman" w:hAnsi="Times New Roman"/>
          <w:i/>
          <w:sz w:val="24"/>
          <w:szCs w:val="24"/>
        </w:rPr>
        <w:t>Material</w:t>
      </w:r>
    </w:p>
    <w:p w14:paraId="080F1468" w14:textId="77777777" w:rsidR="001612D5" w:rsidRDefault="00000000">
      <w:pPr>
        <w:spacing w:line="300" w:lineRule="atLeast"/>
        <w:ind w:firstLineChars="200" w:firstLine="480"/>
        <w:rPr>
          <w:rFonts w:ascii="Times New Roman" w:hAnsi="Times New Roman"/>
          <w:bCs/>
          <w:iCs/>
          <w:sz w:val="24"/>
          <w:szCs w:val="24"/>
          <w:lang w:bidi="en-US"/>
        </w:rPr>
      </w:pPr>
      <w:r>
        <w:rPr>
          <w:rFonts w:ascii="Times New Roman" w:hAnsi="Times New Roman"/>
          <w:bCs/>
          <w:iCs/>
          <w:sz w:val="24"/>
          <w:szCs w:val="24"/>
          <w:lang w:bidi="en-US"/>
        </w:rPr>
        <w:t>Six Beagle dogs, approximately 1.5 years old and weighing between 12 and 14 kg, were used in this study. A total of 24 implants were inserted, four implants in each hemimandible, and the other hemimandible was left as natural healing. One-piece implants were randomly divided into laser surface (test group) and standard acid-etched surface (control group). The study was designed and conducted according to the “Guide for Care and Use of Laboratory Animals” (8</w:t>
      </w:r>
      <w:r>
        <w:rPr>
          <w:rFonts w:ascii="Times New Roman" w:hAnsi="Times New Roman"/>
          <w:bCs/>
          <w:iCs/>
          <w:sz w:val="24"/>
          <w:szCs w:val="24"/>
          <w:vertAlign w:val="superscript"/>
          <w:lang w:bidi="en-US"/>
        </w:rPr>
        <w:t>th</w:t>
      </w:r>
      <w:r>
        <w:rPr>
          <w:rFonts w:ascii="Times New Roman" w:hAnsi="Times New Roman"/>
          <w:bCs/>
          <w:iCs/>
          <w:sz w:val="24"/>
          <w:szCs w:val="24"/>
          <w:lang w:bidi="en-US"/>
        </w:rPr>
        <w:t xml:space="preserve"> ed) and European Directive 2010/63/E.U. (14). The project was approved by the University of Murcia’s “Institutional Animal Care and Use Committee” (CEEA) in process number A1320141102. A veterinarian responsible for the study checked the dogs’ health before starting the study. A housing time of 2 weeks was allowed before the surgical procedure. All animals presented an excellent general health status, without any systemic pathology, occlusal trauma, or fungal or viral lesions in the oral cavity. The animals were pre-anesthetized with acepromazine maleate 0.2%–1.5 ml/kg (</w:t>
      </w:r>
      <w:proofErr w:type="spellStart"/>
      <w:r>
        <w:rPr>
          <w:rFonts w:ascii="Times New Roman" w:hAnsi="Times New Roman"/>
          <w:bCs/>
          <w:iCs/>
          <w:sz w:val="24"/>
          <w:szCs w:val="24"/>
          <w:lang w:bidi="en-US"/>
        </w:rPr>
        <w:t>Calmo-Neosan</w:t>
      </w:r>
      <w:proofErr w:type="spellEnd"/>
      <w:r>
        <w:rPr>
          <w:rFonts w:ascii="Times New Roman" w:hAnsi="Times New Roman"/>
          <w:bCs/>
          <w:iCs/>
          <w:sz w:val="24"/>
          <w:szCs w:val="24"/>
          <w:lang w:bidi="en-US"/>
        </w:rPr>
        <w:t>, Pfizer, Madrid) together with Buprenorphine,</w:t>
      </w:r>
      <w:r>
        <w:rPr>
          <w:rFonts w:ascii="Times New Roman" w:hAnsi="Times New Roman" w:hint="eastAsia"/>
          <w:bCs/>
          <w:iCs/>
          <w:sz w:val="24"/>
          <w:szCs w:val="24"/>
          <w:lang w:bidi="en-US"/>
        </w:rPr>
        <w:t xml:space="preserve"> </w:t>
      </w:r>
      <w:r>
        <w:rPr>
          <w:rFonts w:ascii="Times New Roman" w:hAnsi="Times New Roman"/>
          <w:bCs/>
          <w:iCs/>
          <w:sz w:val="24"/>
          <w:szCs w:val="24"/>
          <w:lang w:bidi="en-US"/>
        </w:rPr>
        <w:t>12 µg/kg (</w:t>
      </w:r>
      <w:proofErr w:type="spellStart"/>
      <w:r>
        <w:rPr>
          <w:rFonts w:ascii="Times New Roman" w:hAnsi="Times New Roman"/>
          <w:bCs/>
          <w:iCs/>
          <w:sz w:val="24"/>
          <w:szCs w:val="24"/>
          <w:lang w:bidi="en-US"/>
        </w:rPr>
        <w:t>Bupaq</w:t>
      </w:r>
      <w:proofErr w:type="spellEnd"/>
      <w:r>
        <w:rPr>
          <w:rFonts w:ascii="Times New Roman" w:hAnsi="Times New Roman"/>
          <w:bCs/>
          <w:iCs/>
          <w:sz w:val="24"/>
          <w:szCs w:val="24"/>
          <w:lang w:bidi="en-US"/>
        </w:rPr>
        <w:t xml:space="preserve">®, Richter Pharma AG, </w:t>
      </w:r>
      <w:proofErr w:type="spellStart"/>
      <w:r>
        <w:rPr>
          <w:rFonts w:ascii="Times New Roman" w:hAnsi="Times New Roman"/>
          <w:bCs/>
          <w:iCs/>
          <w:sz w:val="24"/>
          <w:szCs w:val="24"/>
          <w:lang w:bidi="en-US"/>
        </w:rPr>
        <w:t>Oberoesterreich</w:t>
      </w:r>
      <w:proofErr w:type="spellEnd"/>
      <w:r>
        <w:rPr>
          <w:rFonts w:ascii="Times New Roman" w:hAnsi="Times New Roman"/>
          <w:bCs/>
          <w:iCs/>
          <w:sz w:val="24"/>
          <w:szCs w:val="24"/>
          <w:lang w:bidi="en-US"/>
        </w:rPr>
        <w:t xml:space="preserve">, Austria) and Atropine, </w:t>
      </w:r>
      <w:r>
        <w:rPr>
          <w:rFonts w:ascii="Times New Roman" w:hAnsi="Times New Roman"/>
          <w:bCs/>
          <w:iCs/>
          <w:sz w:val="24"/>
          <w:szCs w:val="24"/>
          <w:lang w:bidi="en-US"/>
        </w:rPr>
        <w:lastRenderedPageBreak/>
        <w:t>0.04 mg/kg intramuscular (Atropine-Zoo®, Zoo Lab. Bogota, Colombia). The drug mixture was injected intramuscularly into the quadriceps femoris. Immediately, the animals were taken to the surgical room and an intravenous catheter (diameter 22 or 20 G) was inserted in the cephalic vein, infusing Propofol® (</w:t>
      </w:r>
      <w:proofErr w:type="spellStart"/>
      <w:r>
        <w:rPr>
          <w:rFonts w:ascii="Times New Roman" w:hAnsi="Times New Roman"/>
          <w:bCs/>
          <w:iCs/>
          <w:sz w:val="24"/>
          <w:szCs w:val="24"/>
          <w:lang w:bidi="en-US"/>
        </w:rPr>
        <w:t>Propovet</w:t>
      </w:r>
      <w:proofErr w:type="spellEnd"/>
      <w:r>
        <w:rPr>
          <w:rFonts w:ascii="Times New Roman" w:hAnsi="Times New Roman"/>
          <w:bCs/>
          <w:iCs/>
          <w:sz w:val="24"/>
          <w:szCs w:val="24"/>
          <w:lang w:bidi="en-US"/>
        </w:rPr>
        <w:t>, Abbott Laboratories Ltd. Queensborough, Kent, UK) at a rate of 0.4 mg/kg/min slowly and at a constant infusion rate. Anesthetic maintenance was performed using volatile anesthetics. In addition, local anesthesia (</w:t>
      </w:r>
      <w:proofErr w:type="spellStart"/>
      <w:r>
        <w:rPr>
          <w:rFonts w:ascii="Times New Roman" w:hAnsi="Times New Roman"/>
          <w:bCs/>
          <w:iCs/>
          <w:sz w:val="24"/>
          <w:szCs w:val="24"/>
          <w:lang w:bidi="en-US"/>
        </w:rPr>
        <w:t>Articaine</w:t>
      </w:r>
      <w:proofErr w:type="spellEnd"/>
      <w:r>
        <w:rPr>
          <w:rFonts w:ascii="Times New Roman" w:hAnsi="Times New Roman"/>
          <w:bCs/>
          <w:iCs/>
          <w:sz w:val="24"/>
          <w:szCs w:val="24"/>
          <w:lang w:bidi="en-US"/>
        </w:rPr>
        <w:t xml:space="preserve"> 40 mg, with 1% epinephrine, </w:t>
      </w:r>
      <w:proofErr w:type="spellStart"/>
      <w:r>
        <w:rPr>
          <w:rFonts w:ascii="Times New Roman" w:hAnsi="Times New Roman"/>
          <w:bCs/>
          <w:iCs/>
          <w:sz w:val="24"/>
          <w:szCs w:val="24"/>
          <w:lang w:bidi="en-US"/>
        </w:rPr>
        <w:t>Ultracain</w:t>
      </w:r>
      <w:proofErr w:type="spellEnd"/>
      <w:r>
        <w:rPr>
          <w:rFonts w:ascii="Times New Roman" w:hAnsi="Times New Roman"/>
          <w:bCs/>
          <w:iCs/>
          <w:sz w:val="24"/>
          <w:szCs w:val="24"/>
          <w:lang w:bidi="en-US"/>
        </w:rPr>
        <w:t xml:space="preserve">®, </w:t>
      </w:r>
      <w:proofErr w:type="spellStart"/>
      <w:r>
        <w:rPr>
          <w:rFonts w:ascii="Times New Roman" w:hAnsi="Times New Roman"/>
          <w:bCs/>
          <w:iCs/>
          <w:sz w:val="24"/>
          <w:szCs w:val="24"/>
          <w:lang w:bidi="en-US"/>
        </w:rPr>
        <w:t>Normon</w:t>
      </w:r>
      <w:proofErr w:type="spellEnd"/>
      <w:r>
        <w:rPr>
          <w:rFonts w:ascii="Times New Roman" w:hAnsi="Times New Roman"/>
          <w:bCs/>
          <w:iCs/>
          <w:sz w:val="24"/>
          <w:szCs w:val="24"/>
          <w:lang w:bidi="en-US"/>
        </w:rPr>
        <w:t>, Madrid, Spain) was administered at the surgical sites. All procedures were performed under the supervision of a veterinary surgeon. This technique was applied in all animal studies done at the University of Murcia by Calvo-</w:t>
      </w:r>
      <w:proofErr w:type="spellStart"/>
      <w:r>
        <w:rPr>
          <w:rFonts w:ascii="Times New Roman" w:hAnsi="Times New Roman"/>
          <w:bCs/>
          <w:iCs/>
          <w:sz w:val="24"/>
          <w:szCs w:val="24"/>
          <w:lang w:bidi="en-US"/>
        </w:rPr>
        <w:t>Guirado</w:t>
      </w:r>
      <w:proofErr w:type="spellEnd"/>
      <w:r>
        <w:rPr>
          <w:rFonts w:ascii="Times New Roman" w:hAnsi="Times New Roman"/>
          <w:bCs/>
          <w:iCs/>
          <w:sz w:val="24"/>
          <w:szCs w:val="24"/>
          <w:lang w:bidi="en-US"/>
        </w:rPr>
        <w:t xml:space="preserve"> et al. [8–11]. The implants used were one-piece called </w:t>
      </w:r>
      <w:proofErr w:type="spellStart"/>
      <w:r>
        <w:rPr>
          <w:rFonts w:ascii="Times New Roman" w:hAnsi="Times New Roman"/>
          <w:bCs/>
          <w:iCs/>
          <w:sz w:val="24"/>
          <w:szCs w:val="24"/>
          <w:lang w:bidi="en-US"/>
        </w:rPr>
        <w:t>Fixo</w:t>
      </w:r>
      <w:proofErr w:type="spellEnd"/>
      <w:r>
        <w:rPr>
          <w:rFonts w:ascii="Times New Roman" w:hAnsi="Times New Roman"/>
          <w:bCs/>
          <w:iCs/>
          <w:sz w:val="24"/>
          <w:szCs w:val="24"/>
          <w:lang w:bidi="en-US"/>
        </w:rPr>
        <w:t>® 0</w:t>
      </w:r>
      <w:r>
        <w:rPr>
          <w:rFonts w:ascii="Times New Roman" w:hAnsi="Times New Roman"/>
          <w:sz w:val="24"/>
          <w:szCs w:val="24"/>
        </w:rPr>
        <w:t>°</w:t>
      </w:r>
      <w:r>
        <w:rPr>
          <w:rFonts w:ascii="Times New Roman" w:hAnsi="Times New Roman"/>
          <w:bCs/>
          <w:iCs/>
          <w:sz w:val="24"/>
          <w:szCs w:val="24"/>
          <w:lang w:bidi="en-US"/>
        </w:rPr>
        <w:t xml:space="preserve"> (</w:t>
      </w:r>
      <w:proofErr w:type="spellStart"/>
      <w:r>
        <w:rPr>
          <w:rFonts w:ascii="Times New Roman" w:hAnsi="Times New Roman"/>
          <w:bCs/>
          <w:iCs/>
          <w:sz w:val="24"/>
          <w:szCs w:val="24"/>
          <w:lang w:bidi="en-US"/>
        </w:rPr>
        <w:t>Oxyimplant</w:t>
      </w:r>
      <w:proofErr w:type="spellEnd"/>
      <w:r>
        <w:rPr>
          <w:rFonts w:ascii="Times New Roman" w:hAnsi="Times New Roman"/>
          <w:bCs/>
          <w:iCs/>
          <w:sz w:val="24"/>
          <w:szCs w:val="24"/>
          <w:lang w:bidi="en-US"/>
        </w:rPr>
        <w:t xml:space="preserve">®, </w:t>
      </w:r>
      <w:proofErr w:type="spellStart"/>
      <w:r>
        <w:rPr>
          <w:rFonts w:ascii="Times New Roman" w:hAnsi="Times New Roman"/>
          <w:bCs/>
          <w:iCs/>
          <w:sz w:val="24"/>
          <w:szCs w:val="24"/>
          <w:lang w:bidi="en-US"/>
        </w:rPr>
        <w:t>Biomec</w:t>
      </w:r>
      <w:proofErr w:type="spellEnd"/>
      <w:r>
        <w:rPr>
          <w:rFonts w:ascii="Times New Roman" w:hAnsi="Times New Roman"/>
          <w:bCs/>
          <w:iCs/>
          <w:sz w:val="24"/>
          <w:szCs w:val="24"/>
          <w:lang w:bidi="en-US"/>
        </w:rPr>
        <w:t>, Italy) (Figure 1).</w:t>
      </w:r>
    </w:p>
    <w:p w14:paraId="458E7D72" w14:textId="77777777" w:rsidR="001612D5" w:rsidRDefault="00000000">
      <w:pPr>
        <w:spacing w:beforeLines="100" w:before="312" w:afterLines="100" w:after="312" w:line="300" w:lineRule="atLeast"/>
        <w:jc w:val="center"/>
        <w:rPr>
          <w:rFonts w:ascii="Times New Roman" w:hAnsi="Times New Roman"/>
          <w:bCs/>
          <w:iCs/>
          <w:sz w:val="24"/>
          <w:szCs w:val="24"/>
          <w:lang w:bidi="en-US"/>
        </w:rPr>
      </w:pPr>
      <w:r>
        <w:rPr>
          <w:rFonts w:ascii="Times New Roman" w:hAnsi="Times New Roman"/>
          <w:bCs/>
          <w:iCs/>
          <w:noProof/>
          <w:sz w:val="24"/>
          <w:szCs w:val="24"/>
          <w:lang w:bidi="en-US"/>
        </w:rPr>
        <w:drawing>
          <wp:inline distT="0" distB="0" distL="0" distR="0" wp14:anchorId="0233CCB6" wp14:editId="44D85784">
            <wp:extent cx="3062605" cy="3019425"/>
            <wp:effectExtent l="0" t="0" r="0" b="3175"/>
            <wp:docPr id="3" name="Imagen 3" descr="Imagen que contiene estructuras metáli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structuras metálicas&#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2605" cy="3019425"/>
                    </a:xfrm>
                    <a:prstGeom prst="rect">
                      <a:avLst/>
                    </a:prstGeom>
                  </pic:spPr>
                </pic:pic>
              </a:graphicData>
            </a:graphic>
          </wp:inline>
        </w:drawing>
      </w:r>
    </w:p>
    <w:p w14:paraId="066F69F1" w14:textId="77777777" w:rsidR="001612D5" w:rsidRDefault="00000000">
      <w:pPr>
        <w:autoSpaceDE w:val="0"/>
        <w:autoSpaceDN w:val="0"/>
        <w:adjustRightInd w:val="0"/>
        <w:jc w:val="center"/>
        <w:rPr>
          <w:rFonts w:ascii="Times New Roman" w:hAnsi="Times New Roman"/>
          <w:bCs/>
          <w:sz w:val="24"/>
          <w:szCs w:val="24"/>
          <w:lang w:bidi="en-US"/>
        </w:rPr>
      </w:pPr>
      <w:r>
        <w:rPr>
          <w:rFonts w:ascii="Times New Roman" w:hAnsi="Times New Roman"/>
          <w:b/>
          <w:sz w:val="24"/>
          <w:szCs w:val="24"/>
          <w:lang w:bidi="en-US"/>
        </w:rPr>
        <w:t>Figure 1.</w:t>
      </w:r>
      <w:r>
        <w:rPr>
          <w:rFonts w:ascii="Times New Roman" w:hAnsi="Times New Roman"/>
          <w:bCs/>
          <w:sz w:val="24"/>
          <w:szCs w:val="24"/>
          <w:lang w:bidi="en-US"/>
        </w:rPr>
        <w:t xml:space="preserve">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one-piece implant 3.5</w:t>
      </w:r>
      <w:r>
        <w:rPr>
          <w:rFonts w:ascii="Times New Roman" w:hAnsi="Times New Roman"/>
          <w:iCs/>
          <w:sz w:val="24"/>
          <w:szCs w:val="24"/>
          <w:lang w:bidi="en-US"/>
        </w:rPr>
        <w:t>Ø</w:t>
      </w:r>
      <w:r>
        <w:rPr>
          <w:rFonts w:ascii="Times New Roman" w:hAnsi="Times New Roman"/>
          <w:bCs/>
          <w:sz w:val="24"/>
          <w:szCs w:val="24"/>
          <w:lang w:bidi="en-US"/>
        </w:rPr>
        <w:t xml:space="preserve"> × 8.5 mm length 0</w:t>
      </w:r>
      <w:r>
        <w:rPr>
          <w:rFonts w:ascii="Times New Roman" w:hAnsi="Times New Roman"/>
          <w:sz w:val="24"/>
          <w:szCs w:val="24"/>
        </w:rPr>
        <w:t>°</w:t>
      </w:r>
      <w:r>
        <w:rPr>
          <w:rFonts w:ascii="Times New Roman" w:hAnsi="Times New Roman"/>
          <w:bCs/>
          <w:sz w:val="24"/>
          <w:szCs w:val="24"/>
          <w:lang w:bidi="en-US"/>
        </w:rPr>
        <w:t>.</w:t>
      </w:r>
    </w:p>
    <w:p w14:paraId="7B3FE8C3" w14:textId="77777777" w:rsidR="001612D5" w:rsidRDefault="00000000">
      <w:pPr>
        <w:pStyle w:val="Prrafodelista"/>
        <w:numPr>
          <w:ilvl w:val="1"/>
          <w:numId w:val="2"/>
        </w:numPr>
        <w:spacing w:beforeLines="100" w:before="312" w:afterLines="100" w:after="312" w:line="300" w:lineRule="atLeast"/>
        <w:ind w:left="0" w:firstLineChars="0" w:firstLine="0"/>
        <w:rPr>
          <w:rFonts w:ascii="Times New Roman" w:hAnsi="Times New Roman"/>
          <w:i/>
          <w:sz w:val="24"/>
          <w:szCs w:val="24"/>
        </w:rPr>
      </w:pPr>
      <w:r>
        <w:rPr>
          <w:rFonts w:ascii="Times New Roman" w:hAnsi="Times New Roman"/>
          <w:bCs/>
          <w:i/>
          <w:sz w:val="24"/>
          <w:szCs w:val="24"/>
        </w:rPr>
        <w:t>Methods</w:t>
      </w:r>
    </w:p>
    <w:p w14:paraId="5DD1731B" w14:textId="2E8F0418" w:rsidR="001612D5" w:rsidRDefault="00000000">
      <w:pPr>
        <w:spacing w:line="300" w:lineRule="atLeast"/>
        <w:ind w:firstLineChars="200" w:firstLine="480"/>
        <w:rPr>
          <w:rFonts w:ascii="Times New Roman" w:hAnsi="Times New Roman"/>
          <w:iCs/>
          <w:sz w:val="24"/>
          <w:szCs w:val="24"/>
          <w:lang w:bidi="en-US"/>
        </w:rPr>
      </w:pPr>
      <w:r>
        <w:rPr>
          <w:rFonts w:ascii="Times New Roman" w:hAnsi="Times New Roman"/>
          <w:iCs/>
          <w:sz w:val="24"/>
          <w:szCs w:val="24"/>
          <w:lang w:bidi="en-US"/>
        </w:rPr>
        <w:t>Extractions of premolars and mandibular first molar (P2, P3, P4, M1) were performed in the hole mandibular of each animal. Teeth were sectioned at the root bifurcation in the lingual vestibule direction with a tungsten carbide bur to extract the roots individually employing an elevator and forceps without damaging the bony walls. This procedure was applied in all animal studies done at the University of Murcia by Calvo-</w:t>
      </w:r>
      <w:proofErr w:type="spellStart"/>
      <w:r>
        <w:rPr>
          <w:rFonts w:ascii="Times New Roman" w:hAnsi="Times New Roman"/>
          <w:iCs/>
          <w:sz w:val="24"/>
          <w:szCs w:val="24"/>
          <w:lang w:bidi="en-US"/>
        </w:rPr>
        <w:t>Guirado</w:t>
      </w:r>
      <w:proofErr w:type="spellEnd"/>
      <w:r>
        <w:rPr>
          <w:rFonts w:ascii="Times New Roman" w:hAnsi="Times New Roman"/>
          <w:iCs/>
          <w:sz w:val="24"/>
          <w:szCs w:val="24"/>
          <w:lang w:bidi="en-US"/>
        </w:rPr>
        <w:t xml:space="preserve"> et </w:t>
      </w:r>
      <w:r>
        <w:rPr>
          <w:rFonts w:ascii="Times New Roman" w:hAnsi="Times New Roman" w:hint="eastAsia"/>
          <w:iCs/>
          <w:sz w:val="24"/>
          <w:szCs w:val="24"/>
          <w:lang w:bidi="en-US"/>
        </w:rPr>
        <w:t>al</w:t>
      </w:r>
      <w:r>
        <w:rPr>
          <w:rFonts w:ascii="Times New Roman" w:hAnsi="Times New Roman"/>
          <w:iCs/>
          <w:sz w:val="24"/>
          <w:szCs w:val="24"/>
          <w:lang w:bidi="en-US"/>
        </w:rPr>
        <w:t xml:space="preserve">. in previous studies [8–11]. The placement of the </w:t>
      </w:r>
      <w:proofErr w:type="spellStart"/>
      <w:r>
        <w:rPr>
          <w:rFonts w:ascii="Times New Roman" w:hAnsi="Times New Roman"/>
          <w:iCs/>
          <w:sz w:val="24"/>
          <w:szCs w:val="24"/>
          <w:lang w:bidi="en-US"/>
        </w:rPr>
        <w:t>Fixo</w:t>
      </w:r>
      <w:proofErr w:type="spellEnd"/>
      <w:r>
        <w:rPr>
          <w:rFonts w:ascii="Times New Roman" w:hAnsi="Times New Roman"/>
          <w:iCs/>
          <w:sz w:val="24"/>
          <w:szCs w:val="24"/>
          <w:lang w:bidi="en-US"/>
        </w:rPr>
        <w:t>® implants (</w:t>
      </w:r>
      <w:proofErr w:type="spellStart"/>
      <w:r>
        <w:rPr>
          <w:rFonts w:ascii="Times New Roman" w:hAnsi="Times New Roman"/>
          <w:iCs/>
          <w:sz w:val="24"/>
          <w:szCs w:val="24"/>
          <w:lang w:bidi="en-US"/>
        </w:rPr>
        <w:t>Oxyimplant</w:t>
      </w:r>
      <w:proofErr w:type="spellEnd"/>
      <w:r>
        <w:rPr>
          <w:rFonts w:ascii="Times New Roman" w:hAnsi="Times New Roman"/>
          <w:iCs/>
          <w:sz w:val="24"/>
          <w:szCs w:val="24"/>
          <w:lang w:bidi="en-US"/>
        </w:rPr>
        <w:t xml:space="preserve">, </w:t>
      </w:r>
      <w:proofErr w:type="spellStart"/>
      <w:r>
        <w:rPr>
          <w:rFonts w:ascii="Times New Roman" w:hAnsi="Times New Roman"/>
          <w:iCs/>
          <w:sz w:val="24"/>
          <w:szCs w:val="24"/>
          <w:lang w:bidi="en-US"/>
        </w:rPr>
        <w:t>Biomec</w:t>
      </w:r>
      <w:proofErr w:type="spellEnd"/>
      <w:r>
        <w:rPr>
          <w:rFonts w:ascii="Times New Roman" w:hAnsi="Times New Roman"/>
          <w:iCs/>
          <w:sz w:val="24"/>
          <w:szCs w:val="24"/>
          <w:lang w:bidi="en-US"/>
        </w:rPr>
        <w:t xml:space="preserve">, </w:t>
      </w:r>
      <w:proofErr w:type="spellStart"/>
      <w:r>
        <w:rPr>
          <w:rFonts w:ascii="Times New Roman" w:hAnsi="Times New Roman"/>
          <w:iCs/>
          <w:sz w:val="24"/>
          <w:szCs w:val="24"/>
          <w:lang w:bidi="en-US"/>
        </w:rPr>
        <w:t>Colico</w:t>
      </w:r>
      <w:proofErr w:type="spellEnd"/>
      <w:r>
        <w:rPr>
          <w:rFonts w:ascii="Times New Roman" w:hAnsi="Times New Roman"/>
          <w:iCs/>
          <w:sz w:val="24"/>
          <w:szCs w:val="24"/>
          <w:lang w:bidi="en-US"/>
        </w:rPr>
        <w:t xml:space="preserve">, Lecco, Italy) was determined by the randomization program http://www.randomization.com, where the two different implant surfaces and two different positions were assigned to the experimental animals. The other hemimandible was used to place other types of implants from the same company, not evaluated in this study. The study’s design planned 24 implants in the mandible: 12 implants coated with a new laser surface (test) and 12 with the acid-etched surface (control) one-piece called </w:t>
      </w:r>
      <w:proofErr w:type="spellStart"/>
      <w:r>
        <w:rPr>
          <w:rFonts w:ascii="Times New Roman" w:hAnsi="Times New Roman"/>
          <w:iCs/>
          <w:sz w:val="24"/>
          <w:szCs w:val="24"/>
          <w:lang w:bidi="en-US"/>
        </w:rPr>
        <w:t>Fixo</w:t>
      </w:r>
      <w:proofErr w:type="spellEnd"/>
      <w:r>
        <w:rPr>
          <w:rFonts w:ascii="Times New Roman" w:hAnsi="Times New Roman"/>
          <w:iCs/>
          <w:sz w:val="24"/>
          <w:szCs w:val="24"/>
          <w:lang w:bidi="en-US"/>
        </w:rPr>
        <w:t>® 0</w:t>
      </w:r>
      <w:r w:rsidR="00BF04D6">
        <w:rPr>
          <w:rFonts w:ascii="Times New Roman" w:hAnsi="Times New Roman"/>
          <w:sz w:val="24"/>
          <w:szCs w:val="24"/>
        </w:rPr>
        <w:t>°</w:t>
      </w:r>
      <w:r>
        <w:rPr>
          <w:rFonts w:ascii="Times New Roman" w:hAnsi="Times New Roman"/>
          <w:iCs/>
          <w:sz w:val="24"/>
          <w:szCs w:val="24"/>
          <w:lang w:bidi="en-US"/>
        </w:rPr>
        <w:t>.</w:t>
      </w:r>
      <w:r>
        <w:rPr>
          <w:rFonts w:ascii="Times New Roman" w:eastAsiaTheme="minorHAnsi" w:hAnsi="Times New Roman"/>
          <w:kern w:val="0"/>
          <w:szCs w:val="21"/>
          <w:lang w:eastAsia="en-US" w:bidi="en-US"/>
        </w:rPr>
        <w:t xml:space="preserve"> </w:t>
      </w:r>
      <w:r>
        <w:rPr>
          <w:rFonts w:ascii="Times New Roman" w:hAnsi="Times New Roman"/>
          <w:iCs/>
          <w:sz w:val="24"/>
          <w:szCs w:val="24"/>
          <w:lang w:bidi="en-US"/>
        </w:rPr>
        <w:t xml:space="preserve">Each dog received four one-piece implants (3.5Ø × 8.5 mm length, four per hemi-arch, randomly assigned in the mandible. Before implant placement, the vestibular, </w:t>
      </w:r>
      <w:r>
        <w:rPr>
          <w:rFonts w:ascii="Times New Roman" w:hAnsi="Times New Roman"/>
          <w:iCs/>
          <w:sz w:val="24"/>
          <w:szCs w:val="24"/>
          <w:lang w:bidi="en-US"/>
        </w:rPr>
        <w:lastRenderedPageBreak/>
        <w:t>lingual, mesial, and distal dimensions of the entrance of the fresh extraction sockets were measured with a sliding caliper, determining the measurements of the medial alveolar ridge (Figure 2).</w:t>
      </w:r>
    </w:p>
    <w:p w14:paraId="4739ACCC" w14:textId="77777777" w:rsidR="001612D5" w:rsidRDefault="00000000">
      <w:pPr>
        <w:spacing w:beforeLines="100" w:before="312" w:afterLines="100" w:after="312" w:line="300" w:lineRule="atLeast"/>
        <w:jc w:val="center"/>
        <w:rPr>
          <w:rFonts w:ascii="Times New Roman" w:hAnsi="Times New Roman"/>
          <w:iCs/>
          <w:sz w:val="24"/>
          <w:szCs w:val="24"/>
          <w:lang w:bidi="en-US"/>
        </w:rPr>
      </w:pPr>
      <w:r>
        <w:rPr>
          <w:rFonts w:ascii="Times New Roman" w:hAnsi="Times New Roman"/>
          <w:iCs/>
          <w:noProof/>
          <w:sz w:val="24"/>
          <w:szCs w:val="24"/>
          <w:lang w:bidi="en-US"/>
        </w:rPr>
        <w:drawing>
          <wp:inline distT="0" distB="0" distL="0" distR="0" wp14:anchorId="11CCB214" wp14:editId="3564AC4E">
            <wp:extent cx="4390292" cy="2608808"/>
            <wp:effectExtent l="0" t="0" r="0" b="1270"/>
            <wp:docPr id="5" name="Imagen 5" descr="Imagen que contiene interior, tabla, comid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ior, tabla, comida, alimentos&#10;&#10;Descripción generada automáticament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0763" cy="2620972"/>
                    </a:xfrm>
                    <a:prstGeom prst="rect">
                      <a:avLst/>
                    </a:prstGeom>
                  </pic:spPr>
                </pic:pic>
              </a:graphicData>
            </a:graphic>
          </wp:inline>
        </w:drawing>
      </w:r>
    </w:p>
    <w:p w14:paraId="0AA6EDB9" w14:textId="77777777" w:rsidR="001612D5" w:rsidRDefault="00000000">
      <w:pPr>
        <w:pStyle w:val="MDPI21heading1"/>
        <w:spacing w:beforeLines="100" w:before="312" w:afterLines="100" w:after="312" w:line="300" w:lineRule="atLeast"/>
        <w:ind w:left="567" w:right="567"/>
        <w:jc w:val="both"/>
        <w:outlineLvl w:val="9"/>
        <w:rPr>
          <w:rFonts w:ascii="Times New Roman" w:hAnsi="Times New Roman"/>
          <w:b w:val="0"/>
          <w:sz w:val="24"/>
          <w:szCs w:val="24"/>
        </w:rPr>
      </w:pPr>
      <w:r>
        <w:rPr>
          <w:rFonts w:ascii="Times New Roman" w:hAnsi="Times New Roman"/>
          <w:bCs/>
          <w:sz w:val="24"/>
          <w:szCs w:val="24"/>
        </w:rPr>
        <w:t>Figure 2</w:t>
      </w:r>
      <w:r>
        <w:rPr>
          <w:rFonts w:ascii="Times New Roman" w:hAnsi="Times New Roman"/>
          <w:b w:val="0"/>
          <w:sz w:val="24"/>
          <w:szCs w:val="24"/>
        </w:rPr>
        <w:t xml:space="preserve">. (a) </w:t>
      </w:r>
      <w:proofErr w:type="spellStart"/>
      <w:r>
        <w:rPr>
          <w:rFonts w:ascii="Times New Roman" w:hAnsi="Times New Roman"/>
          <w:b w:val="0"/>
          <w:sz w:val="24"/>
          <w:szCs w:val="24"/>
        </w:rPr>
        <w:t>Odontosection</w:t>
      </w:r>
      <w:proofErr w:type="spellEnd"/>
      <w:r>
        <w:rPr>
          <w:rFonts w:ascii="Times New Roman" w:hAnsi="Times New Roman"/>
          <w:b w:val="0"/>
          <w:sz w:val="24"/>
          <w:szCs w:val="24"/>
        </w:rPr>
        <w:t xml:space="preserve"> of premolars and molar teeth. (b) empty sockets of extraction roots. (c) </w:t>
      </w:r>
      <w:proofErr w:type="spellStart"/>
      <w:r>
        <w:rPr>
          <w:rFonts w:ascii="Times New Roman" w:hAnsi="Times New Roman"/>
          <w:b w:val="0"/>
          <w:iCs/>
          <w:sz w:val="24"/>
          <w:szCs w:val="24"/>
        </w:rPr>
        <w:t>Fixo</w:t>
      </w:r>
      <w:proofErr w:type="spellEnd"/>
      <w:r>
        <w:rPr>
          <w:rFonts w:ascii="Times New Roman" w:hAnsi="Times New Roman"/>
          <w:b w:val="0"/>
          <w:iCs/>
          <w:sz w:val="24"/>
          <w:szCs w:val="24"/>
        </w:rPr>
        <w:t xml:space="preserve">® </w:t>
      </w:r>
      <w:r>
        <w:rPr>
          <w:rFonts w:ascii="Times New Roman" w:hAnsi="Times New Roman"/>
          <w:b w:val="0"/>
          <w:sz w:val="24"/>
          <w:szCs w:val="24"/>
        </w:rPr>
        <w:t xml:space="preserve">implant with rough laser surface. (d) Laser </w:t>
      </w:r>
      <w:proofErr w:type="spellStart"/>
      <w:r>
        <w:rPr>
          <w:rFonts w:ascii="Times New Roman" w:hAnsi="Times New Roman"/>
          <w:b w:val="0"/>
          <w:iCs/>
          <w:sz w:val="24"/>
          <w:szCs w:val="24"/>
        </w:rPr>
        <w:t>Fixo</w:t>
      </w:r>
      <w:proofErr w:type="spellEnd"/>
      <w:r>
        <w:rPr>
          <w:rFonts w:ascii="Times New Roman" w:hAnsi="Times New Roman"/>
          <w:b w:val="0"/>
          <w:iCs/>
          <w:sz w:val="24"/>
          <w:szCs w:val="24"/>
        </w:rPr>
        <w:t xml:space="preserve">® </w:t>
      </w:r>
      <w:r>
        <w:rPr>
          <w:rFonts w:ascii="Times New Roman" w:hAnsi="Times New Roman"/>
          <w:b w:val="0"/>
          <w:sz w:val="24"/>
          <w:szCs w:val="24"/>
        </w:rPr>
        <w:t xml:space="preserve">implants inserted in alveolar sockets. (e) </w:t>
      </w:r>
      <w:proofErr w:type="spellStart"/>
      <w:r>
        <w:rPr>
          <w:rFonts w:ascii="Times New Roman" w:hAnsi="Times New Roman"/>
          <w:b w:val="0"/>
          <w:iCs/>
          <w:sz w:val="24"/>
          <w:szCs w:val="24"/>
        </w:rPr>
        <w:t>Fixo</w:t>
      </w:r>
      <w:proofErr w:type="spellEnd"/>
      <w:r>
        <w:rPr>
          <w:rFonts w:ascii="Times New Roman" w:hAnsi="Times New Roman"/>
          <w:b w:val="0"/>
          <w:iCs/>
          <w:sz w:val="24"/>
          <w:szCs w:val="24"/>
        </w:rPr>
        <w:t xml:space="preserve">® </w:t>
      </w:r>
      <w:r>
        <w:rPr>
          <w:rFonts w:ascii="Times New Roman" w:hAnsi="Times New Roman"/>
          <w:b w:val="0"/>
          <w:sz w:val="24"/>
          <w:szCs w:val="24"/>
        </w:rPr>
        <w:t xml:space="preserve">acid-etched surface. (f) </w:t>
      </w:r>
      <w:proofErr w:type="spellStart"/>
      <w:r>
        <w:rPr>
          <w:rFonts w:ascii="Times New Roman" w:hAnsi="Times New Roman"/>
          <w:b w:val="0"/>
          <w:iCs/>
          <w:sz w:val="24"/>
          <w:szCs w:val="24"/>
        </w:rPr>
        <w:t>Fixo</w:t>
      </w:r>
      <w:proofErr w:type="spellEnd"/>
      <w:r>
        <w:rPr>
          <w:rFonts w:ascii="Times New Roman" w:hAnsi="Times New Roman"/>
          <w:b w:val="0"/>
          <w:iCs/>
          <w:sz w:val="24"/>
          <w:szCs w:val="24"/>
        </w:rPr>
        <w:t xml:space="preserve">® </w:t>
      </w:r>
      <w:r>
        <w:rPr>
          <w:rFonts w:ascii="Times New Roman" w:hAnsi="Times New Roman"/>
          <w:b w:val="0"/>
          <w:sz w:val="24"/>
          <w:szCs w:val="24"/>
        </w:rPr>
        <w:t>acid-etched surface inserting in alveolar sockets.</w:t>
      </w:r>
    </w:p>
    <w:p w14:paraId="40FA7CFE" w14:textId="77777777" w:rsidR="001612D5" w:rsidRDefault="00000000">
      <w:pPr>
        <w:spacing w:beforeLines="100" w:before="312" w:line="300" w:lineRule="atLeast"/>
        <w:ind w:firstLineChars="200" w:firstLine="480"/>
        <w:rPr>
          <w:rFonts w:ascii="Times New Roman" w:hAnsi="Times New Roman"/>
          <w:iCs/>
          <w:sz w:val="24"/>
          <w:szCs w:val="24"/>
          <w:lang w:bidi="en-US"/>
        </w:rPr>
      </w:pPr>
      <w:r>
        <w:rPr>
          <w:rFonts w:ascii="Times New Roman" w:hAnsi="Times New Roman"/>
          <w:bCs/>
          <w:iCs/>
          <w:sz w:val="24"/>
          <w:szCs w:val="24"/>
          <w:lang w:bidi="en-US"/>
        </w:rPr>
        <w:t xml:space="preserve">After implants were placed, implant stability was measured with </w:t>
      </w:r>
      <w:proofErr w:type="spellStart"/>
      <w:r>
        <w:rPr>
          <w:rFonts w:ascii="Times New Roman" w:hAnsi="Times New Roman"/>
          <w:bCs/>
          <w:iCs/>
          <w:sz w:val="24"/>
          <w:szCs w:val="24"/>
          <w:lang w:bidi="en-US"/>
        </w:rPr>
        <w:t>Ostell</w:t>
      </w:r>
      <w:proofErr w:type="spellEnd"/>
      <w:r>
        <w:rPr>
          <w:rFonts w:ascii="Times New Roman" w:hAnsi="Times New Roman"/>
          <w:bCs/>
          <w:iCs/>
          <w:sz w:val="24"/>
          <w:szCs w:val="24"/>
          <w:lang w:bidi="en-US"/>
        </w:rPr>
        <w:t xml:space="preserve"> Mentor® (</w:t>
      </w:r>
      <w:proofErr w:type="spellStart"/>
      <w:r>
        <w:rPr>
          <w:rFonts w:ascii="Times New Roman" w:hAnsi="Times New Roman"/>
          <w:bCs/>
          <w:iCs/>
          <w:sz w:val="24"/>
          <w:szCs w:val="24"/>
          <w:lang w:bidi="en-US"/>
        </w:rPr>
        <w:t>Stampgatan</w:t>
      </w:r>
      <w:proofErr w:type="spellEnd"/>
      <w:r>
        <w:rPr>
          <w:rFonts w:ascii="Times New Roman" w:hAnsi="Times New Roman"/>
          <w:bCs/>
          <w:iCs/>
          <w:sz w:val="24"/>
          <w:szCs w:val="24"/>
          <w:lang w:bidi="en-US"/>
        </w:rPr>
        <w:t>, Goteborg, Sweden) which evaluates the primary stability by radiofrequency analysis (RFA) using ISQ (implant stability quotient) values (Figure 3)</w:t>
      </w:r>
      <w:r>
        <w:rPr>
          <w:rFonts w:ascii="Times New Roman" w:hAnsi="Times New Roman"/>
          <w:iCs/>
          <w:sz w:val="24"/>
          <w:szCs w:val="24"/>
          <w:lang w:bidi="en-US"/>
        </w:rPr>
        <w:t>.</w:t>
      </w:r>
    </w:p>
    <w:p w14:paraId="6499EB3F" w14:textId="77777777" w:rsidR="001612D5" w:rsidRDefault="00000000">
      <w:pPr>
        <w:spacing w:beforeLines="100" w:before="312" w:afterLines="100" w:after="312" w:line="300" w:lineRule="atLeast"/>
        <w:jc w:val="center"/>
        <w:rPr>
          <w:rFonts w:ascii="Times New Roman" w:hAnsi="Times New Roman"/>
          <w:iCs/>
          <w:sz w:val="24"/>
          <w:szCs w:val="24"/>
          <w:lang w:bidi="en-US"/>
        </w:rPr>
      </w:pPr>
      <w:r>
        <w:rPr>
          <w:rFonts w:ascii="Times New Roman" w:hAnsi="Times New Roman"/>
          <w:iCs/>
          <w:noProof/>
          <w:sz w:val="24"/>
          <w:szCs w:val="24"/>
          <w:lang w:bidi="en-US"/>
        </w:rPr>
        <w:drawing>
          <wp:inline distT="0" distB="0" distL="0" distR="0" wp14:anchorId="2F4D49F3" wp14:editId="279D1050">
            <wp:extent cx="4712800" cy="1893277"/>
            <wp:effectExtent l="0" t="0" r="0" b="0"/>
            <wp:docPr id="6" name="Imagen 6" descr="Imagen que contiene animal, comida, tabla,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animal, comida, tabla, plato&#10;&#10;Descripción generada automáticament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4077" cy="1901825"/>
                    </a:xfrm>
                    <a:prstGeom prst="rect">
                      <a:avLst/>
                    </a:prstGeom>
                  </pic:spPr>
                </pic:pic>
              </a:graphicData>
            </a:graphic>
          </wp:inline>
        </w:drawing>
      </w:r>
    </w:p>
    <w:p w14:paraId="7FE2BAF5" w14:textId="77777777" w:rsidR="001612D5" w:rsidRDefault="00000000">
      <w:pPr>
        <w:pStyle w:val="MDPI21heading1"/>
        <w:spacing w:beforeLines="100" w:before="312" w:afterLines="100" w:after="312" w:line="300" w:lineRule="atLeast"/>
        <w:ind w:left="567" w:right="567"/>
        <w:jc w:val="both"/>
        <w:outlineLvl w:val="9"/>
        <w:rPr>
          <w:rFonts w:ascii="Times New Roman" w:hAnsi="Times New Roman"/>
          <w:b w:val="0"/>
          <w:sz w:val="24"/>
          <w:szCs w:val="24"/>
        </w:rPr>
      </w:pPr>
      <w:r>
        <w:rPr>
          <w:rFonts w:ascii="Times New Roman" w:hAnsi="Times New Roman"/>
          <w:bCs/>
          <w:sz w:val="24"/>
          <w:szCs w:val="24"/>
        </w:rPr>
        <w:t>Figure 3</w:t>
      </w:r>
      <w:r>
        <w:rPr>
          <w:rFonts w:ascii="Times New Roman" w:hAnsi="Times New Roman"/>
          <w:b w:val="0"/>
          <w:sz w:val="24"/>
          <w:szCs w:val="24"/>
        </w:rPr>
        <w:t xml:space="preserve">. (a) </w:t>
      </w:r>
      <w:proofErr w:type="spellStart"/>
      <w:r>
        <w:rPr>
          <w:rFonts w:ascii="Times New Roman" w:hAnsi="Times New Roman"/>
          <w:b w:val="0"/>
          <w:iCs/>
          <w:sz w:val="24"/>
          <w:szCs w:val="24"/>
        </w:rPr>
        <w:t>Fixo</w:t>
      </w:r>
      <w:proofErr w:type="spellEnd"/>
      <w:r>
        <w:rPr>
          <w:rFonts w:ascii="Times New Roman" w:hAnsi="Times New Roman"/>
          <w:b w:val="0"/>
          <w:iCs/>
          <w:sz w:val="24"/>
          <w:szCs w:val="24"/>
        </w:rPr>
        <w:t xml:space="preserve">® </w:t>
      </w:r>
      <w:r>
        <w:rPr>
          <w:rFonts w:ascii="Times New Roman" w:hAnsi="Times New Roman"/>
          <w:b w:val="0"/>
          <w:sz w:val="24"/>
          <w:szCs w:val="24"/>
        </w:rPr>
        <w:t xml:space="preserve">implants placed </w:t>
      </w:r>
      <w:proofErr w:type="spellStart"/>
      <w:r>
        <w:rPr>
          <w:rFonts w:ascii="Times New Roman" w:hAnsi="Times New Roman"/>
          <w:b w:val="0"/>
          <w:sz w:val="24"/>
          <w:szCs w:val="24"/>
        </w:rPr>
        <w:t>crestally</w:t>
      </w:r>
      <w:proofErr w:type="spellEnd"/>
      <w:r>
        <w:rPr>
          <w:rFonts w:ascii="Times New Roman" w:hAnsi="Times New Roman"/>
          <w:b w:val="0"/>
          <w:sz w:val="24"/>
          <w:szCs w:val="24"/>
        </w:rPr>
        <w:t xml:space="preserve"> and </w:t>
      </w:r>
      <w:proofErr w:type="spellStart"/>
      <w:r>
        <w:rPr>
          <w:rFonts w:ascii="Times New Roman" w:hAnsi="Times New Roman"/>
          <w:b w:val="0"/>
          <w:sz w:val="24"/>
          <w:szCs w:val="24"/>
        </w:rPr>
        <w:t>subcrestally</w:t>
      </w:r>
      <w:proofErr w:type="spellEnd"/>
      <w:r>
        <w:rPr>
          <w:rFonts w:ascii="Times New Roman" w:hAnsi="Times New Roman"/>
          <w:b w:val="0"/>
          <w:sz w:val="24"/>
          <w:szCs w:val="24"/>
        </w:rPr>
        <w:t xml:space="preserve"> related to buccal bone plate. (b) </w:t>
      </w:r>
      <w:proofErr w:type="spellStart"/>
      <w:r>
        <w:rPr>
          <w:rFonts w:ascii="Times New Roman" w:hAnsi="Times New Roman"/>
          <w:b w:val="0"/>
          <w:sz w:val="24"/>
          <w:szCs w:val="24"/>
        </w:rPr>
        <w:t>Ostell</w:t>
      </w:r>
      <w:proofErr w:type="spellEnd"/>
      <w:r>
        <w:rPr>
          <w:rFonts w:ascii="Times New Roman" w:hAnsi="Times New Roman"/>
          <w:b w:val="0"/>
          <w:sz w:val="24"/>
          <w:szCs w:val="24"/>
        </w:rPr>
        <w:t xml:space="preserve"> smart peg in place</w:t>
      </w:r>
      <w:r>
        <w:rPr>
          <w:rFonts w:ascii="SimSun" w:eastAsia="SimSun" w:hAnsi="SimSun" w:cs="SimSun" w:hint="eastAsia"/>
          <w:b w:val="0"/>
          <w:sz w:val="24"/>
          <w:szCs w:val="24"/>
          <w:lang w:eastAsia="zh-CN"/>
        </w:rPr>
        <w:t>.</w:t>
      </w:r>
    </w:p>
    <w:p w14:paraId="382B387F" w14:textId="0548B06D" w:rsidR="001612D5" w:rsidRDefault="00000000">
      <w:pPr>
        <w:spacing w:beforeLines="100" w:before="312" w:line="300" w:lineRule="atLeast"/>
        <w:ind w:firstLineChars="200" w:firstLine="480"/>
        <w:rPr>
          <w:rFonts w:ascii="Times New Roman" w:hAnsi="Times New Roman"/>
          <w:iCs/>
          <w:sz w:val="24"/>
          <w:szCs w:val="24"/>
          <w:lang w:bidi="en-US"/>
        </w:rPr>
      </w:pPr>
      <w:r>
        <w:rPr>
          <w:rFonts w:ascii="Times New Roman" w:hAnsi="Times New Roman"/>
          <w:iCs/>
          <w:sz w:val="24"/>
          <w:szCs w:val="24"/>
          <w:lang w:bidi="en-US"/>
        </w:rPr>
        <w:t xml:space="preserve">On the other hand, after we placed the healing screw and the stitches were done, the other method to evaluate implant stability is the </w:t>
      </w:r>
      <w:proofErr w:type="spellStart"/>
      <w:r>
        <w:rPr>
          <w:rFonts w:ascii="Times New Roman" w:hAnsi="Times New Roman"/>
          <w:iCs/>
          <w:sz w:val="24"/>
          <w:szCs w:val="24"/>
          <w:lang w:bidi="en-US"/>
        </w:rPr>
        <w:t>Periotest</w:t>
      </w:r>
      <w:proofErr w:type="spellEnd"/>
      <w:r>
        <w:rPr>
          <w:rFonts w:ascii="Times New Roman" w:hAnsi="Times New Roman"/>
          <w:iCs/>
          <w:sz w:val="24"/>
          <w:szCs w:val="24"/>
          <w:lang w:bidi="en-US"/>
        </w:rPr>
        <w:t xml:space="preserve"> device (</w:t>
      </w:r>
      <w:proofErr w:type="spellStart"/>
      <w:r>
        <w:rPr>
          <w:rFonts w:ascii="Times New Roman" w:hAnsi="Times New Roman"/>
          <w:iCs/>
          <w:sz w:val="24"/>
          <w:szCs w:val="24"/>
          <w:lang w:bidi="en-US"/>
        </w:rPr>
        <w:t>Medizintechnik</w:t>
      </w:r>
      <w:proofErr w:type="spellEnd"/>
      <w:r>
        <w:rPr>
          <w:rFonts w:ascii="Times New Roman" w:hAnsi="Times New Roman"/>
          <w:iCs/>
          <w:sz w:val="24"/>
          <w:szCs w:val="24"/>
          <w:lang w:bidi="en-US"/>
        </w:rPr>
        <w:t xml:space="preserve"> Gulden, </w:t>
      </w:r>
      <w:proofErr w:type="spellStart"/>
      <w:r>
        <w:rPr>
          <w:rFonts w:ascii="Times New Roman" w:hAnsi="Times New Roman"/>
          <w:iCs/>
          <w:sz w:val="24"/>
          <w:szCs w:val="24"/>
          <w:lang w:bidi="en-US"/>
        </w:rPr>
        <w:t>Modautal</w:t>
      </w:r>
      <w:proofErr w:type="spellEnd"/>
      <w:r>
        <w:rPr>
          <w:rFonts w:ascii="Times New Roman" w:hAnsi="Times New Roman"/>
          <w:iCs/>
          <w:sz w:val="24"/>
          <w:szCs w:val="24"/>
          <w:lang w:bidi="en-US"/>
        </w:rPr>
        <w:t>, Germany) (Figure 4).</w:t>
      </w:r>
    </w:p>
    <w:p w14:paraId="6D2344C3" w14:textId="77777777" w:rsidR="001612D5" w:rsidRDefault="00000000">
      <w:pPr>
        <w:spacing w:beforeLines="100" w:before="312" w:afterLines="100" w:after="312" w:line="300" w:lineRule="atLeast"/>
        <w:jc w:val="center"/>
        <w:rPr>
          <w:rFonts w:ascii="Times New Roman" w:hAnsi="Times New Roman"/>
          <w:iCs/>
          <w:sz w:val="24"/>
          <w:szCs w:val="24"/>
          <w:lang w:bidi="en-US"/>
        </w:rPr>
      </w:pPr>
      <w:r>
        <w:rPr>
          <w:rFonts w:ascii="Times New Roman" w:hAnsi="Times New Roman"/>
          <w:iCs/>
          <w:noProof/>
          <w:sz w:val="24"/>
          <w:szCs w:val="24"/>
          <w:lang w:bidi="en-US"/>
        </w:rPr>
        <w:lastRenderedPageBreak/>
        <w:drawing>
          <wp:inline distT="0" distB="0" distL="0" distR="0" wp14:anchorId="7499E177" wp14:editId="7E548FB8">
            <wp:extent cx="5595506" cy="2379785"/>
            <wp:effectExtent l="0" t="0" r="5715" b="1905"/>
            <wp:docPr id="7" name="Imagen 7" descr="Imagen que contiene pastel, chocolate, tabl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pastel, chocolate, tabla, alimentos&#10;&#10;Descripción generada automáticament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1770" cy="2407967"/>
                    </a:xfrm>
                    <a:prstGeom prst="rect">
                      <a:avLst/>
                    </a:prstGeom>
                  </pic:spPr>
                </pic:pic>
              </a:graphicData>
            </a:graphic>
          </wp:inline>
        </w:drawing>
      </w:r>
    </w:p>
    <w:p w14:paraId="7D11EADE" w14:textId="77777777" w:rsidR="001612D5" w:rsidRDefault="00000000">
      <w:pPr>
        <w:pStyle w:val="MDPI21heading1"/>
        <w:spacing w:beforeLines="100" w:before="312" w:afterLines="100" w:after="312" w:line="300" w:lineRule="atLeast"/>
        <w:ind w:left="567" w:right="567"/>
        <w:jc w:val="both"/>
        <w:outlineLvl w:val="9"/>
        <w:rPr>
          <w:rFonts w:ascii="Times New Roman" w:hAnsi="Times New Roman"/>
          <w:b w:val="0"/>
          <w:sz w:val="24"/>
          <w:szCs w:val="24"/>
        </w:rPr>
      </w:pPr>
      <w:r>
        <w:rPr>
          <w:rFonts w:ascii="Times New Roman" w:hAnsi="Times New Roman"/>
          <w:bCs/>
          <w:sz w:val="24"/>
          <w:szCs w:val="24"/>
        </w:rPr>
        <w:t>Figure 4</w:t>
      </w:r>
      <w:r>
        <w:rPr>
          <w:rFonts w:ascii="SimSun" w:eastAsia="SimSun" w:hAnsi="SimSun" w:cs="SimSun" w:hint="eastAsia"/>
          <w:b w:val="0"/>
          <w:sz w:val="24"/>
          <w:szCs w:val="24"/>
          <w:lang w:eastAsia="zh-CN"/>
        </w:rPr>
        <w:t>.</w:t>
      </w:r>
      <w:r>
        <w:rPr>
          <w:rFonts w:ascii="Times New Roman" w:hAnsi="Times New Roman"/>
          <w:b w:val="0"/>
          <w:sz w:val="24"/>
          <w:szCs w:val="24"/>
        </w:rPr>
        <w:t xml:space="preserve"> (a) </w:t>
      </w:r>
      <w:proofErr w:type="spellStart"/>
      <w:r>
        <w:rPr>
          <w:rFonts w:ascii="Times New Roman" w:hAnsi="Times New Roman"/>
          <w:b w:val="0"/>
          <w:sz w:val="24"/>
          <w:szCs w:val="24"/>
        </w:rPr>
        <w:t>Fixo</w:t>
      </w:r>
      <w:proofErr w:type="spellEnd"/>
      <w:r>
        <w:rPr>
          <w:rFonts w:ascii="Times New Roman" w:hAnsi="Times New Roman"/>
          <w:b w:val="0"/>
          <w:sz w:val="24"/>
          <w:szCs w:val="24"/>
        </w:rPr>
        <w:t xml:space="preserve"> implants placed with healing screws. (b) </w:t>
      </w:r>
      <w:proofErr w:type="spellStart"/>
      <w:r>
        <w:rPr>
          <w:rFonts w:ascii="Times New Roman" w:hAnsi="Times New Roman"/>
          <w:b w:val="0"/>
          <w:sz w:val="24"/>
          <w:szCs w:val="24"/>
        </w:rPr>
        <w:t>Periotest</w:t>
      </w:r>
      <w:proofErr w:type="spellEnd"/>
      <w:r>
        <w:rPr>
          <w:rFonts w:ascii="Times New Roman" w:hAnsi="Times New Roman"/>
          <w:b w:val="0"/>
          <w:sz w:val="24"/>
          <w:szCs w:val="24"/>
        </w:rPr>
        <w:t xml:space="preserve"> device evaluating implant stability.</w:t>
      </w:r>
    </w:p>
    <w:p w14:paraId="336C3492" w14:textId="744C3414" w:rsidR="001612D5" w:rsidRDefault="00000000">
      <w:pPr>
        <w:spacing w:line="300" w:lineRule="atLeast"/>
        <w:ind w:firstLineChars="200" w:firstLine="480"/>
        <w:rPr>
          <w:rFonts w:ascii="Times New Roman" w:hAnsi="Times New Roman"/>
          <w:iCs/>
          <w:sz w:val="24"/>
          <w:szCs w:val="24"/>
          <w:lang w:bidi="en-US"/>
        </w:rPr>
      </w:pPr>
      <w:r>
        <w:rPr>
          <w:rFonts w:ascii="Times New Roman" w:hAnsi="Times New Roman"/>
          <w:iCs/>
          <w:sz w:val="24"/>
          <w:szCs w:val="24"/>
          <w:lang w:bidi="en-US"/>
        </w:rPr>
        <w:t xml:space="preserve">Flaps were closed using simple non-absorbable interrupted sutures (Silk 3–0®, Lorca Marin, </w:t>
      </w:r>
      <w:r>
        <w:rPr>
          <w:rFonts w:ascii="Times New Roman" w:hAnsi="Times New Roman"/>
          <w:iCs/>
          <w:spacing w:val="-3"/>
          <w:kern w:val="0"/>
          <w:sz w:val="24"/>
          <w:szCs w:val="24"/>
          <w:lang w:bidi="en-US"/>
        </w:rPr>
        <w:t>Lorca, Spain). After the surgical procedures, the animals received antibiotics twice daily (Amoxicillin 500 mg</w:t>
      </w:r>
      <w:r>
        <w:rPr>
          <w:rFonts w:ascii="Times New Roman" w:hAnsi="Times New Roman"/>
          <w:iCs/>
          <w:sz w:val="24"/>
          <w:szCs w:val="24"/>
          <w:lang w:bidi="en-US"/>
        </w:rPr>
        <w:t xml:space="preserve">, </w:t>
      </w:r>
      <w:proofErr w:type="spellStart"/>
      <w:r>
        <w:rPr>
          <w:rFonts w:ascii="Times New Roman" w:hAnsi="Times New Roman"/>
          <w:iCs/>
          <w:sz w:val="24"/>
          <w:szCs w:val="24"/>
          <w:lang w:bidi="en-US"/>
        </w:rPr>
        <w:t>Clamoxyl</w:t>
      </w:r>
      <w:proofErr w:type="spellEnd"/>
      <w:r>
        <w:rPr>
          <w:rFonts w:ascii="Times New Roman" w:hAnsi="Times New Roman"/>
          <w:iCs/>
          <w:sz w:val="24"/>
          <w:szCs w:val="24"/>
          <w:lang w:bidi="en-US"/>
        </w:rPr>
        <w:t xml:space="preserve">® L.A., Pfizer, Madrid, Spain) and analgesics three times a day (Ibuprofen 600 mg, </w:t>
      </w:r>
      <w:proofErr w:type="spellStart"/>
      <w:r>
        <w:rPr>
          <w:rFonts w:ascii="Times New Roman" w:hAnsi="Times New Roman"/>
          <w:iCs/>
          <w:sz w:val="24"/>
          <w:szCs w:val="24"/>
          <w:lang w:bidi="en-US"/>
        </w:rPr>
        <w:t>Rimadyl</w:t>
      </w:r>
      <w:proofErr w:type="spellEnd"/>
      <w:r>
        <w:rPr>
          <w:rFonts w:ascii="Times New Roman" w:hAnsi="Times New Roman"/>
          <w:iCs/>
          <w:sz w:val="24"/>
          <w:szCs w:val="24"/>
          <w:lang w:bidi="en-US"/>
        </w:rPr>
        <w:t>®, Pfizer, Madrid, Spain). Sutures were removed after seven days. The animals had free access to water and were fed wet balanced dog food for 7 days after surgery. All dogs were sacrificed 12 weeks after implant placement using pentothal natrium (Abbot Laboratories, Madrid, Spain) perfused through the carotid arteries with a fixative containing a mixture of 5% glutaraldehyde and 4% formalin. The jaws were dissected, and block sections, including the implant sites and the surrounding soft and hard tissues, were removed with a saw. This procedure was applied in all animal studies done at the University of Murcia by Calvo-</w:t>
      </w:r>
      <w:proofErr w:type="spellStart"/>
      <w:r>
        <w:rPr>
          <w:rFonts w:ascii="Times New Roman" w:hAnsi="Times New Roman"/>
          <w:iCs/>
          <w:sz w:val="24"/>
          <w:szCs w:val="24"/>
          <w:lang w:bidi="en-US"/>
        </w:rPr>
        <w:t>Guirado</w:t>
      </w:r>
      <w:proofErr w:type="spellEnd"/>
      <w:r>
        <w:rPr>
          <w:rFonts w:ascii="Times New Roman" w:hAnsi="Times New Roman"/>
          <w:iCs/>
          <w:sz w:val="24"/>
          <w:szCs w:val="24"/>
          <w:lang w:bidi="en-US"/>
        </w:rPr>
        <w:t xml:space="preserve"> et al. in previous studies [8–11]. Micro-computed tomography </w:t>
      </w:r>
      <w:r>
        <w:rPr>
          <w:rFonts w:ascii="Times New Roman" w:hAnsi="Times New Roman"/>
          <w:iCs/>
          <w:spacing w:val="-3"/>
          <w:sz w:val="24"/>
          <w:szCs w:val="24"/>
          <w:lang w:bidi="en-US"/>
        </w:rPr>
        <w:t>analysis. The sections of the block, including the segments with implants, were preserved and fixed in 10%</w:t>
      </w:r>
      <w:r>
        <w:rPr>
          <w:rFonts w:ascii="Times New Roman" w:hAnsi="Times New Roman"/>
          <w:iCs/>
          <w:sz w:val="24"/>
          <w:szCs w:val="24"/>
          <w:lang w:bidi="en-US"/>
        </w:rPr>
        <w:t xml:space="preserve"> neutral formalin. Image acquisitions were performed using a multimodal PET/SPECT/CT </w:t>
      </w:r>
      <w:proofErr w:type="spellStart"/>
      <w:r>
        <w:rPr>
          <w:rFonts w:ascii="Times New Roman" w:hAnsi="Times New Roman"/>
          <w:iCs/>
          <w:sz w:val="24"/>
          <w:szCs w:val="24"/>
          <w:lang w:bidi="en-US"/>
        </w:rPr>
        <w:t>Albira</w:t>
      </w:r>
      <w:proofErr w:type="spellEnd"/>
      <w:r>
        <w:rPr>
          <w:rFonts w:ascii="Times New Roman" w:hAnsi="Times New Roman"/>
          <w:iCs/>
          <w:sz w:val="24"/>
          <w:szCs w:val="24"/>
          <w:lang w:bidi="en-US"/>
        </w:rPr>
        <w:t xml:space="preserve"> II ARS scanner (Bruker® Corporation, Karlsruhe, Germany) belonging to the University of Murcia. The </w:t>
      </w:r>
      <w:r>
        <w:rPr>
          <w:rFonts w:ascii="Times New Roman" w:hAnsi="Times New Roman"/>
          <w:iCs/>
          <w:spacing w:val="-2"/>
          <w:sz w:val="24"/>
          <w:szCs w:val="24"/>
          <w:lang w:bidi="en-US"/>
        </w:rPr>
        <w:t xml:space="preserve">acquisition parameters were 45 </w:t>
      </w:r>
      <w:proofErr w:type="spellStart"/>
      <w:r>
        <w:rPr>
          <w:rFonts w:ascii="Times New Roman" w:hAnsi="Times New Roman"/>
          <w:iCs/>
          <w:spacing w:val="-2"/>
          <w:sz w:val="24"/>
          <w:szCs w:val="24"/>
          <w:lang w:bidi="en-US"/>
        </w:rPr>
        <w:t>Kv</w:t>
      </w:r>
      <w:proofErr w:type="spellEnd"/>
      <w:r>
        <w:rPr>
          <w:rFonts w:ascii="Times New Roman" w:hAnsi="Times New Roman"/>
          <w:iCs/>
          <w:spacing w:val="-2"/>
          <w:sz w:val="24"/>
          <w:szCs w:val="24"/>
          <w:lang w:bidi="en-US"/>
        </w:rPr>
        <w:t>, 0.2 mA, and 0.05 mm voxel. The acquisition slices were axial, 0.05</w:t>
      </w:r>
      <w:r>
        <w:rPr>
          <w:rFonts w:ascii="Times New Roman" w:hAnsi="Times New Roman"/>
          <w:iCs/>
          <w:sz w:val="24"/>
          <w:szCs w:val="24"/>
          <w:lang w:bidi="en-US"/>
        </w:rPr>
        <w:t xml:space="preserve"> mm thick, and 800 to 1000 images were obtained from each piece through a flat-panel digital detector with 2400 × 2400 pixels, and a FOV (Field of View) of 70 × 70 mm</w:t>
      </w:r>
      <w:r>
        <w:rPr>
          <w:rFonts w:ascii="Times New Roman" w:hAnsi="Times New Roman"/>
          <w:iCs/>
          <w:sz w:val="24"/>
          <w:szCs w:val="24"/>
          <w:vertAlign w:val="superscript"/>
          <w:lang w:bidi="en-US"/>
        </w:rPr>
        <w:t>2</w:t>
      </w:r>
      <w:r>
        <w:rPr>
          <w:rFonts w:ascii="Times New Roman" w:hAnsi="Times New Roman"/>
          <w:iCs/>
          <w:sz w:val="24"/>
          <w:szCs w:val="24"/>
          <w:lang w:bidi="en-US"/>
        </w:rPr>
        <w:t xml:space="preserve"> was used to capture 600 voxel projections of 0.125 mm</w:t>
      </w:r>
      <w:r>
        <w:rPr>
          <w:rFonts w:ascii="Times New Roman" w:hAnsi="Times New Roman"/>
          <w:iCs/>
          <w:sz w:val="24"/>
          <w:szCs w:val="24"/>
          <w:vertAlign w:val="superscript"/>
          <w:lang w:bidi="en-US"/>
        </w:rPr>
        <w:t>3</w:t>
      </w:r>
      <w:r>
        <w:rPr>
          <w:rFonts w:ascii="Times New Roman" w:hAnsi="Times New Roman"/>
          <w:iCs/>
          <w:sz w:val="24"/>
          <w:szCs w:val="24"/>
          <w:lang w:bidi="en-US"/>
        </w:rPr>
        <w:t>. Scanner exposure per block was 15–20 min. The approximate radiation deep dose equivalent for CT (computed tomography) settings was 226 millisievert (</w:t>
      </w:r>
      <w:proofErr w:type="spellStart"/>
      <w:r>
        <w:rPr>
          <w:rFonts w:ascii="Times New Roman" w:hAnsi="Times New Roman"/>
          <w:iCs/>
          <w:sz w:val="24"/>
          <w:szCs w:val="24"/>
          <w:lang w:bidi="en-US"/>
        </w:rPr>
        <w:t>mSV</w:t>
      </w:r>
      <w:proofErr w:type="spellEnd"/>
      <w:r>
        <w:rPr>
          <w:rFonts w:ascii="Times New Roman" w:hAnsi="Times New Roman"/>
          <w:iCs/>
          <w:sz w:val="24"/>
          <w:szCs w:val="24"/>
          <w:lang w:bidi="en-US"/>
        </w:rPr>
        <w:t xml:space="preserve">), and the shallow dose equivalent was 358.9 </w:t>
      </w:r>
      <w:proofErr w:type="spellStart"/>
      <w:r>
        <w:rPr>
          <w:rFonts w:ascii="Times New Roman" w:hAnsi="Times New Roman"/>
          <w:iCs/>
          <w:sz w:val="24"/>
          <w:szCs w:val="24"/>
          <w:lang w:bidi="en-US"/>
        </w:rPr>
        <w:t>mSV</w:t>
      </w:r>
      <w:proofErr w:type="spellEnd"/>
      <w:r>
        <w:rPr>
          <w:rFonts w:ascii="Times New Roman" w:hAnsi="Times New Roman"/>
          <w:iCs/>
          <w:sz w:val="24"/>
          <w:szCs w:val="24"/>
          <w:lang w:bidi="en-US"/>
        </w:rPr>
        <w:t xml:space="preserve"> (Figure 5)</w:t>
      </w:r>
      <w:r>
        <w:rPr>
          <w:rFonts w:ascii="Times New Roman" w:hAnsi="Times New Roman" w:hint="eastAsia"/>
          <w:iCs/>
          <w:sz w:val="24"/>
          <w:szCs w:val="24"/>
          <w:lang w:bidi="en-US"/>
        </w:rPr>
        <w:t>.</w:t>
      </w:r>
    </w:p>
    <w:p w14:paraId="2D494C9E" w14:textId="77777777" w:rsidR="00A03B2A" w:rsidRDefault="00A03B2A" w:rsidP="00A03B2A">
      <w:pPr>
        <w:spacing w:line="300" w:lineRule="atLeast"/>
        <w:ind w:firstLineChars="200" w:firstLine="480"/>
        <w:rPr>
          <w:rFonts w:ascii="Times New Roman" w:hAnsi="Times New Roman"/>
          <w:iCs/>
          <w:sz w:val="24"/>
          <w:szCs w:val="24"/>
          <w:lang w:bidi="en-US"/>
        </w:rPr>
      </w:pPr>
      <w:r>
        <w:rPr>
          <w:rFonts w:ascii="Times New Roman" w:hAnsi="Times New Roman"/>
          <w:iCs/>
          <w:sz w:val="24"/>
          <w:szCs w:val="24"/>
          <w:lang w:bidi="en-US"/>
        </w:rPr>
        <w:t>The implants were grouped according to the three axes (transverse, coronal, and sagittal), to check the image in the sagittal section. In all the images, the same parameters in FOV (%): 90 and zoom: 0.5 and with a hardness of bone density around the implant were quantified in Hounsfield units (HU), using seven 1 × 1 mm squares or regions of interest (ROI) in the BIC (bone-to-implant contact) area, two in the crestal area, two in the medial, two in the apical area, and one in the tip of the implant, using a medical image data examiner (Figure 6)</w:t>
      </w:r>
      <w:r>
        <w:rPr>
          <w:rFonts w:ascii="Times New Roman" w:hAnsi="Times New Roman" w:hint="eastAsia"/>
          <w:iCs/>
          <w:sz w:val="24"/>
          <w:szCs w:val="24"/>
          <w:lang w:bidi="en-US"/>
        </w:rPr>
        <w:t>.</w:t>
      </w:r>
    </w:p>
    <w:p w14:paraId="2A76DEAD" w14:textId="77777777" w:rsidR="00A03B2A" w:rsidRPr="00A03B2A" w:rsidRDefault="00A03B2A">
      <w:pPr>
        <w:spacing w:line="300" w:lineRule="atLeast"/>
        <w:ind w:firstLineChars="200" w:firstLine="480"/>
        <w:rPr>
          <w:rFonts w:ascii="Times New Roman" w:hAnsi="Times New Roman"/>
          <w:iCs/>
          <w:sz w:val="24"/>
          <w:szCs w:val="24"/>
          <w:lang w:bidi="en-US"/>
        </w:rPr>
      </w:pPr>
    </w:p>
    <w:p w14:paraId="59298A7F" w14:textId="77777777" w:rsidR="001612D5" w:rsidRDefault="00000000">
      <w:pPr>
        <w:spacing w:beforeLines="100" w:before="312" w:afterLines="100" w:after="312" w:line="300" w:lineRule="atLeast"/>
        <w:jc w:val="center"/>
        <w:rPr>
          <w:rFonts w:ascii="Times New Roman" w:hAnsi="Times New Roman"/>
          <w:iCs/>
          <w:sz w:val="24"/>
          <w:szCs w:val="24"/>
          <w:lang w:bidi="en-US"/>
        </w:rPr>
      </w:pPr>
      <w:r>
        <w:rPr>
          <w:rFonts w:ascii="Times New Roman" w:hAnsi="Times New Roman"/>
          <w:iCs/>
          <w:noProof/>
          <w:sz w:val="24"/>
          <w:szCs w:val="24"/>
          <w:lang w:bidi="en-US"/>
        </w:rPr>
        <w:lastRenderedPageBreak/>
        <w:drawing>
          <wp:inline distT="0" distB="0" distL="0" distR="0" wp14:anchorId="0F1FC69C" wp14:editId="061E2D25">
            <wp:extent cx="4144622" cy="2244969"/>
            <wp:effectExtent l="0" t="0" r="8890" b="3175"/>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4624" cy="2326219"/>
                    </a:xfrm>
                    <a:prstGeom prst="rect">
                      <a:avLst/>
                    </a:prstGeom>
                  </pic:spPr>
                </pic:pic>
              </a:graphicData>
            </a:graphic>
          </wp:inline>
        </w:drawing>
      </w:r>
    </w:p>
    <w:p w14:paraId="29B31297" w14:textId="77777777" w:rsidR="001612D5" w:rsidRDefault="00000000">
      <w:pPr>
        <w:spacing w:beforeLines="100" w:before="312" w:afterLines="100" w:after="312" w:line="300" w:lineRule="atLeast"/>
        <w:ind w:left="567" w:right="567"/>
        <w:rPr>
          <w:rFonts w:ascii="Times New Roman" w:hAnsi="Times New Roman"/>
          <w:bCs/>
          <w:iCs/>
          <w:sz w:val="24"/>
          <w:szCs w:val="24"/>
          <w:lang w:bidi="en-US"/>
        </w:rPr>
      </w:pPr>
      <w:r>
        <w:rPr>
          <w:rFonts w:ascii="Times New Roman" w:hAnsi="Times New Roman"/>
          <w:b/>
          <w:iCs/>
          <w:sz w:val="24"/>
          <w:szCs w:val="24"/>
          <w:lang w:bidi="en-US"/>
        </w:rPr>
        <w:t>Figure 5</w:t>
      </w:r>
      <w:r>
        <w:rPr>
          <w:rFonts w:ascii="Times New Roman" w:hAnsi="Times New Roman" w:hint="eastAsia"/>
          <w:b/>
          <w:iCs/>
          <w:sz w:val="24"/>
          <w:szCs w:val="24"/>
          <w:lang w:bidi="en-US"/>
        </w:rPr>
        <w:t>.</w:t>
      </w:r>
      <w:r>
        <w:rPr>
          <w:rFonts w:ascii="Times New Roman" w:hAnsi="Times New Roman"/>
          <w:bCs/>
          <w:iCs/>
          <w:sz w:val="24"/>
          <w:szCs w:val="24"/>
          <w:lang w:bidi="en-US"/>
        </w:rPr>
        <w:t xml:space="preserve"> Technical of different steps followed for the acquisition and processing of the </w:t>
      </w:r>
      <w:r>
        <w:rPr>
          <w:rFonts w:ascii="Times New Roman" w:hAnsi="Times New Roman"/>
          <w:bCs/>
          <w:iCs/>
          <w:spacing w:val="-4"/>
          <w:sz w:val="24"/>
          <w:szCs w:val="24"/>
          <w:lang w:bidi="en-US"/>
        </w:rPr>
        <w:t xml:space="preserve">micro-CT image in crushed teeth. Step 1: Laser and acid-etched surface </w:t>
      </w:r>
      <w:proofErr w:type="spellStart"/>
      <w:r>
        <w:rPr>
          <w:rFonts w:ascii="Times New Roman" w:hAnsi="Times New Roman"/>
          <w:bCs/>
          <w:iCs/>
          <w:spacing w:val="-4"/>
          <w:sz w:val="24"/>
          <w:szCs w:val="24"/>
          <w:lang w:bidi="en-US"/>
        </w:rPr>
        <w:t>fixo</w:t>
      </w:r>
      <w:proofErr w:type="spellEnd"/>
      <w:r>
        <w:rPr>
          <w:rFonts w:ascii="Times New Roman" w:hAnsi="Times New Roman"/>
          <w:bCs/>
          <w:iCs/>
          <w:spacing w:val="-4"/>
          <w:sz w:val="24"/>
          <w:szCs w:val="24"/>
          <w:lang w:bidi="en-US"/>
        </w:rPr>
        <w:t xml:space="preserve"> implants. Step 2</w:t>
      </w:r>
      <w:r>
        <w:rPr>
          <w:rFonts w:ascii="Times New Roman" w:hAnsi="Times New Roman"/>
          <w:bCs/>
          <w:iCs/>
          <w:sz w:val="24"/>
          <w:szCs w:val="24"/>
          <w:lang w:bidi="en-US"/>
        </w:rPr>
        <w:t xml:space="preserve">: </w:t>
      </w:r>
      <w:proofErr w:type="spellStart"/>
      <w:r>
        <w:rPr>
          <w:rFonts w:ascii="Times New Roman" w:hAnsi="Times New Roman"/>
          <w:bCs/>
          <w:iCs/>
          <w:sz w:val="24"/>
          <w:szCs w:val="24"/>
          <w:lang w:bidi="en-US"/>
        </w:rPr>
        <w:t>Fixo</w:t>
      </w:r>
      <w:proofErr w:type="spellEnd"/>
      <w:r>
        <w:rPr>
          <w:rFonts w:ascii="Times New Roman" w:hAnsi="Times New Roman"/>
          <w:bCs/>
          <w:iCs/>
          <w:sz w:val="24"/>
          <w:szCs w:val="24"/>
          <w:lang w:bidi="en-US"/>
        </w:rPr>
        <w:t xml:space="preserve"> implants inserted in the mandible. Step 3: Imagen acquisition (</w:t>
      </w:r>
      <w:proofErr w:type="spellStart"/>
      <w:r>
        <w:rPr>
          <w:rFonts w:ascii="Times New Roman" w:hAnsi="Times New Roman"/>
          <w:bCs/>
          <w:iCs/>
          <w:sz w:val="24"/>
          <w:szCs w:val="24"/>
          <w:lang w:bidi="en-US"/>
        </w:rPr>
        <w:t>Albira</w:t>
      </w:r>
      <w:proofErr w:type="spellEnd"/>
      <w:r>
        <w:rPr>
          <w:rFonts w:ascii="Times New Roman" w:hAnsi="Times New Roman"/>
          <w:bCs/>
          <w:iCs/>
          <w:sz w:val="24"/>
          <w:szCs w:val="24"/>
          <w:lang w:bidi="en-US"/>
        </w:rPr>
        <w:t xml:space="preserve"> Acquirer device). Step 4: Imagen acquisition (</w:t>
      </w:r>
      <w:proofErr w:type="spellStart"/>
      <w:r>
        <w:rPr>
          <w:rFonts w:ascii="Times New Roman" w:hAnsi="Times New Roman"/>
          <w:bCs/>
          <w:iCs/>
          <w:sz w:val="24"/>
          <w:szCs w:val="24"/>
          <w:lang w:bidi="en-US"/>
        </w:rPr>
        <w:t>Albira</w:t>
      </w:r>
      <w:proofErr w:type="spellEnd"/>
      <w:r>
        <w:rPr>
          <w:rFonts w:ascii="Times New Roman" w:hAnsi="Times New Roman"/>
          <w:bCs/>
          <w:iCs/>
          <w:sz w:val="24"/>
          <w:szCs w:val="24"/>
          <w:lang w:bidi="en-US"/>
        </w:rPr>
        <w:t xml:space="preserve"> Acquirer + </w:t>
      </w:r>
      <w:proofErr w:type="spellStart"/>
      <w:r>
        <w:rPr>
          <w:rFonts w:ascii="Times New Roman" w:hAnsi="Times New Roman"/>
          <w:bCs/>
          <w:iCs/>
          <w:sz w:val="24"/>
          <w:szCs w:val="24"/>
          <w:lang w:bidi="en-US"/>
        </w:rPr>
        <w:t>Albira</w:t>
      </w:r>
      <w:proofErr w:type="spellEnd"/>
      <w:r>
        <w:rPr>
          <w:rFonts w:ascii="Times New Roman" w:hAnsi="Times New Roman"/>
          <w:bCs/>
          <w:iCs/>
          <w:sz w:val="24"/>
          <w:szCs w:val="24"/>
          <w:lang w:bidi="en-US"/>
        </w:rPr>
        <w:t xml:space="preserve"> software). Step 5: Imagen manager (</w:t>
      </w:r>
      <w:proofErr w:type="spellStart"/>
      <w:r>
        <w:rPr>
          <w:rFonts w:ascii="Times New Roman" w:hAnsi="Times New Roman"/>
          <w:bCs/>
          <w:iCs/>
          <w:sz w:val="24"/>
          <w:szCs w:val="24"/>
          <w:lang w:bidi="en-US"/>
        </w:rPr>
        <w:t>Albira</w:t>
      </w:r>
      <w:proofErr w:type="spellEnd"/>
      <w:r>
        <w:rPr>
          <w:rFonts w:ascii="Times New Roman" w:hAnsi="Times New Roman"/>
          <w:bCs/>
          <w:iCs/>
          <w:sz w:val="24"/>
          <w:szCs w:val="24"/>
          <w:lang w:bidi="en-US"/>
        </w:rPr>
        <w:t xml:space="preserve"> Acquirer + </w:t>
      </w:r>
      <w:proofErr w:type="spellStart"/>
      <w:r>
        <w:rPr>
          <w:rFonts w:ascii="Times New Roman" w:hAnsi="Times New Roman"/>
          <w:bCs/>
          <w:iCs/>
          <w:sz w:val="24"/>
          <w:szCs w:val="24"/>
          <w:lang w:bidi="en-US"/>
        </w:rPr>
        <w:t>Albira</w:t>
      </w:r>
      <w:proofErr w:type="spellEnd"/>
      <w:r>
        <w:rPr>
          <w:rFonts w:ascii="Times New Roman" w:hAnsi="Times New Roman"/>
          <w:bCs/>
          <w:iCs/>
          <w:sz w:val="24"/>
          <w:szCs w:val="24"/>
          <w:lang w:bidi="en-US"/>
        </w:rPr>
        <w:t xml:space="preserve"> software). Step 6: Imagen </w:t>
      </w:r>
      <w:proofErr w:type="spellStart"/>
      <w:r>
        <w:rPr>
          <w:rFonts w:ascii="Times New Roman" w:hAnsi="Times New Roman"/>
          <w:bCs/>
          <w:iCs/>
          <w:sz w:val="24"/>
          <w:szCs w:val="24"/>
          <w:lang w:bidi="en-US"/>
        </w:rPr>
        <w:t>reconstructor</w:t>
      </w:r>
      <w:proofErr w:type="spellEnd"/>
      <w:r>
        <w:rPr>
          <w:rFonts w:ascii="Times New Roman" w:hAnsi="Times New Roman"/>
          <w:bCs/>
          <w:iCs/>
          <w:sz w:val="24"/>
          <w:szCs w:val="24"/>
          <w:lang w:bidi="en-US"/>
        </w:rPr>
        <w:t xml:space="preserve"> (</w:t>
      </w:r>
      <w:proofErr w:type="spellStart"/>
      <w:r>
        <w:rPr>
          <w:rFonts w:ascii="Times New Roman" w:hAnsi="Times New Roman"/>
          <w:bCs/>
          <w:iCs/>
          <w:sz w:val="24"/>
          <w:szCs w:val="24"/>
          <w:lang w:bidi="en-US"/>
        </w:rPr>
        <w:t>Albira</w:t>
      </w:r>
      <w:proofErr w:type="spellEnd"/>
      <w:r>
        <w:rPr>
          <w:rFonts w:ascii="Times New Roman" w:hAnsi="Times New Roman"/>
          <w:bCs/>
          <w:iCs/>
          <w:sz w:val="24"/>
          <w:szCs w:val="24"/>
          <w:lang w:bidi="en-US"/>
        </w:rPr>
        <w:t xml:space="preserve"> software). Step 7: Segmentation and quantification (Amide). Step 8: </w:t>
      </w:r>
      <w:proofErr w:type="spellStart"/>
      <w:r>
        <w:rPr>
          <w:rFonts w:ascii="Times New Roman" w:hAnsi="Times New Roman"/>
          <w:bCs/>
          <w:iCs/>
          <w:sz w:val="24"/>
          <w:szCs w:val="24"/>
          <w:lang w:bidi="en-US"/>
        </w:rPr>
        <w:t>Isocontours</w:t>
      </w:r>
      <w:proofErr w:type="spellEnd"/>
      <w:r>
        <w:rPr>
          <w:rFonts w:ascii="Times New Roman" w:hAnsi="Times New Roman"/>
          <w:bCs/>
          <w:iCs/>
          <w:sz w:val="24"/>
          <w:szCs w:val="24"/>
          <w:lang w:bidi="en-US"/>
        </w:rPr>
        <w:t xml:space="preserve"> evaluated by AMIDE software.</w:t>
      </w:r>
    </w:p>
    <w:p w14:paraId="03F6B707" w14:textId="77777777" w:rsidR="001612D5" w:rsidRDefault="00000000">
      <w:pPr>
        <w:spacing w:beforeLines="100" w:before="312" w:afterLines="100" w:after="312" w:line="300" w:lineRule="atLeast"/>
        <w:jc w:val="center"/>
        <w:rPr>
          <w:rFonts w:ascii="Times New Roman" w:hAnsi="Times New Roman"/>
          <w:b/>
          <w:bCs/>
          <w:sz w:val="24"/>
          <w:szCs w:val="24"/>
        </w:rPr>
      </w:pPr>
      <w:r>
        <w:rPr>
          <w:rFonts w:ascii="Times New Roman" w:hAnsi="Times New Roman"/>
          <w:iCs/>
          <w:noProof/>
          <w:sz w:val="24"/>
          <w:szCs w:val="24"/>
          <w:lang w:bidi="en-US"/>
        </w:rPr>
        <w:drawing>
          <wp:inline distT="0" distB="0" distL="0" distR="0" wp14:anchorId="62C48C46" wp14:editId="34E81445">
            <wp:extent cx="4507523" cy="2758759"/>
            <wp:effectExtent l="0" t="0" r="7620" b="3810"/>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nterfaz de usuario gráfica&#10;&#10;Descripción generada automáticament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7567" cy="2771026"/>
                    </a:xfrm>
                    <a:prstGeom prst="rect">
                      <a:avLst/>
                    </a:prstGeom>
                  </pic:spPr>
                </pic:pic>
              </a:graphicData>
            </a:graphic>
          </wp:inline>
        </w:drawing>
      </w:r>
    </w:p>
    <w:p w14:paraId="2AD830C1" w14:textId="77777777" w:rsidR="001612D5" w:rsidRDefault="00000000">
      <w:pPr>
        <w:spacing w:beforeLines="100" w:before="312" w:afterLines="100" w:after="312" w:line="300" w:lineRule="atLeast"/>
        <w:ind w:left="567" w:right="567"/>
        <w:rPr>
          <w:rFonts w:ascii="Times New Roman" w:hAnsi="Times New Roman"/>
          <w:iCs/>
          <w:sz w:val="24"/>
          <w:szCs w:val="24"/>
          <w:lang w:bidi="en-US"/>
        </w:rPr>
      </w:pPr>
      <w:r>
        <w:rPr>
          <w:rFonts w:ascii="Times New Roman" w:hAnsi="Times New Roman"/>
          <w:b/>
          <w:bCs/>
          <w:sz w:val="24"/>
          <w:szCs w:val="24"/>
        </w:rPr>
        <w:t>Figure 6</w:t>
      </w:r>
      <w:r>
        <w:rPr>
          <w:b/>
          <w:bCs/>
        </w:rPr>
        <w:t>.</w:t>
      </w:r>
      <w:r>
        <w:rPr>
          <w:bCs/>
        </w:rPr>
        <w:t xml:space="preserve"> </w:t>
      </w:r>
      <w:r>
        <w:rPr>
          <w:rFonts w:ascii="Times New Roman" w:hAnsi="Times New Roman"/>
          <w:bCs/>
          <w:sz w:val="24"/>
          <w:szCs w:val="24"/>
        </w:rPr>
        <w:t>Bone density boxes in different areas marked in orange</w:t>
      </w:r>
      <w:r>
        <w:rPr>
          <w:rFonts w:ascii="Times New Roman" w:hAnsi="Times New Roman" w:hint="eastAsia"/>
          <w:bCs/>
          <w:sz w:val="24"/>
          <w:szCs w:val="24"/>
        </w:rPr>
        <w:t>.</w:t>
      </w:r>
      <w:r>
        <w:rPr>
          <w:rFonts w:ascii="Times New Roman" w:hAnsi="Times New Roman"/>
          <w:bCs/>
          <w:sz w:val="24"/>
          <w:szCs w:val="24"/>
        </w:rPr>
        <w:t xml:space="preserve"> (a) </w:t>
      </w:r>
      <w:proofErr w:type="spellStart"/>
      <w:r>
        <w:rPr>
          <w:rFonts w:ascii="Times New Roman" w:hAnsi="Times New Roman"/>
          <w:bCs/>
          <w:sz w:val="24"/>
          <w:szCs w:val="24"/>
        </w:rPr>
        <w:t>Fixo</w:t>
      </w:r>
      <w:proofErr w:type="spellEnd"/>
      <w:r>
        <w:rPr>
          <w:rFonts w:ascii="Times New Roman" w:hAnsi="Times New Roman"/>
          <w:bCs/>
          <w:sz w:val="24"/>
          <w:szCs w:val="24"/>
        </w:rPr>
        <w:t xml:space="preserve"> acid-etched surface. (b) </w:t>
      </w:r>
      <w:proofErr w:type="spellStart"/>
      <w:r>
        <w:rPr>
          <w:rFonts w:ascii="Times New Roman" w:hAnsi="Times New Roman"/>
          <w:bCs/>
          <w:sz w:val="24"/>
          <w:szCs w:val="24"/>
        </w:rPr>
        <w:t>Fixo</w:t>
      </w:r>
      <w:proofErr w:type="spellEnd"/>
      <w:r>
        <w:rPr>
          <w:rFonts w:ascii="Times New Roman" w:hAnsi="Times New Roman"/>
          <w:bCs/>
          <w:sz w:val="24"/>
          <w:szCs w:val="24"/>
        </w:rPr>
        <w:t xml:space="preserve"> laser surface. Two boxes marked on mesial and distal crestal bone (1 and 2), two boxes in the middle of the implant body (3 and 4), two boxes in the apical area (5 and 6), and one in the tip of the implant (7).</w:t>
      </w:r>
    </w:p>
    <w:p w14:paraId="42D33235" w14:textId="77777777" w:rsidR="001612D5" w:rsidRDefault="00000000">
      <w:pPr>
        <w:spacing w:beforeLines="100" w:before="312" w:line="300" w:lineRule="atLeast"/>
        <w:ind w:firstLineChars="200" w:firstLine="480"/>
        <w:rPr>
          <w:rFonts w:ascii="Times New Roman" w:hAnsi="Times New Roman"/>
          <w:iCs/>
          <w:sz w:val="24"/>
          <w:szCs w:val="24"/>
          <w:lang w:bidi="en-US"/>
        </w:rPr>
      </w:pPr>
      <w:r>
        <w:rPr>
          <w:rFonts w:ascii="Times New Roman" w:hAnsi="Times New Roman"/>
          <w:iCs/>
          <w:sz w:val="24"/>
          <w:szCs w:val="24"/>
          <w:lang w:bidi="en-US"/>
        </w:rPr>
        <w:t xml:space="preserve">Regions of interest (ROI) were defined as the peri-implant bone covering the implant surface with different </w:t>
      </w:r>
      <w:proofErr w:type="spellStart"/>
      <w:r>
        <w:rPr>
          <w:rFonts w:ascii="Times New Roman" w:hAnsi="Times New Roman"/>
          <w:iCs/>
          <w:sz w:val="24"/>
          <w:szCs w:val="24"/>
          <w:lang w:bidi="en-US"/>
        </w:rPr>
        <w:t>isocontours</w:t>
      </w:r>
      <w:proofErr w:type="spellEnd"/>
      <w:r>
        <w:rPr>
          <w:rFonts w:ascii="Times New Roman" w:hAnsi="Times New Roman"/>
          <w:iCs/>
          <w:sz w:val="24"/>
          <w:szCs w:val="24"/>
          <w:lang w:bidi="en-US"/>
        </w:rPr>
        <w:t xml:space="preserve"> (manual measurement done in AMIDE software) according to the three axes (transverse, coronal, and sagittal) to determine the type of bone obtained by AMIDE software. The </w:t>
      </w:r>
      <w:r>
        <w:rPr>
          <w:rFonts w:ascii="Times New Roman" w:hAnsi="Times New Roman"/>
          <w:iCs/>
          <w:sz w:val="24"/>
          <w:szCs w:val="24"/>
          <w:lang w:bidi="en-US"/>
        </w:rPr>
        <w:lastRenderedPageBreak/>
        <w:t>software for viewing, analyzing, and registering volumetric medical imaging data sets (AMIDE, UCLA University, LA, USA) (Figures 7 and 8).</w:t>
      </w:r>
    </w:p>
    <w:p w14:paraId="3B39E9C8" w14:textId="77777777" w:rsidR="001612D5" w:rsidRDefault="00000000">
      <w:pPr>
        <w:spacing w:beforeLines="100" w:before="312" w:afterLines="100" w:after="312" w:line="300" w:lineRule="atLeast"/>
        <w:jc w:val="center"/>
        <w:rPr>
          <w:rFonts w:ascii="Times New Roman" w:hAnsi="Times New Roman"/>
          <w:iCs/>
          <w:sz w:val="24"/>
          <w:szCs w:val="24"/>
          <w:lang w:bidi="en-US"/>
        </w:rPr>
      </w:pPr>
      <w:r>
        <w:rPr>
          <w:rFonts w:ascii="Times New Roman" w:hAnsi="Times New Roman"/>
          <w:iCs/>
          <w:noProof/>
          <w:sz w:val="24"/>
          <w:szCs w:val="24"/>
          <w:lang w:bidi="en-US"/>
        </w:rPr>
        <w:drawing>
          <wp:inline distT="0" distB="0" distL="0" distR="0" wp14:anchorId="0931A150" wp14:editId="1B7A0EE3">
            <wp:extent cx="5216769" cy="153355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5070" cy="1550695"/>
                    </a:xfrm>
                    <a:prstGeom prst="rect">
                      <a:avLst/>
                    </a:prstGeom>
                  </pic:spPr>
                </pic:pic>
              </a:graphicData>
            </a:graphic>
          </wp:inline>
        </w:drawing>
      </w:r>
    </w:p>
    <w:p w14:paraId="37CA5EEB" w14:textId="77777777" w:rsidR="001612D5" w:rsidRDefault="00000000">
      <w:pPr>
        <w:pStyle w:val="MDPI21heading1"/>
        <w:spacing w:beforeLines="100" w:before="312" w:afterLines="100" w:after="312" w:line="300" w:lineRule="atLeast"/>
        <w:ind w:left="567" w:right="567"/>
        <w:jc w:val="both"/>
        <w:outlineLvl w:val="9"/>
        <w:rPr>
          <w:rFonts w:ascii="Times New Roman" w:hAnsi="Times New Roman"/>
          <w:b w:val="0"/>
          <w:bCs/>
          <w:sz w:val="24"/>
          <w:szCs w:val="24"/>
        </w:rPr>
      </w:pPr>
      <w:r>
        <w:rPr>
          <w:rFonts w:ascii="Times New Roman" w:hAnsi="Times New Roman"/>
          <w:sz w:val="24"/>
          <w:szCs w:val="24"/>
        </w:rPr>
        <w:t>Figure 7</w:t>
      </w:r>
      <w:r>
        <w:rPr>
          <w:rFonts w:ascii="Times New Roman" w:hAnsi="Times New Roman"/>
          <w:b w:val="0"/>
          <w:bCs/>
          <w:sz w:val="24"/>
          <w:szCs w:val="24"/>
        </w:rPr>
        <w:t xml:space="preserve">. </w:t>
      </w:r>
      <w:proofErr w:type="spellStart"/>
      <w:r>
        <w:rPr>
          <w:rFonts w:ascii="Times New Roman" w:hAnsi="Times New Roman"/>
          <w:b w:val="0"/>
          <w:bCs/>
          <w:sz w:val="24"/>
          <w:szCs w:val="24"/>
        </w:rPr>
        <w:t>Isocontour</w:t>
      </w:r>
      <w:proofErr w:type="spellEnd"/>
      <w:r>
        <w:rPr>
          <w:rFonts w:ascii="Times New Roman" w:hAnsi="Times New Roman"/>
          <w:b w:val="0"/>
          <w:bCs/>
          <w:sz w:val="24"/>
          <w:szCs w:val="24"/>
        </w:rPr>
        <w:t xml:space="preserve"> of all measurements</w:t>
      </w:r>
      <w:r>
        <w:rPr>
          <w:rFonts w:ascii="SimSun" w:eastAsia="SimSun" w:hAnsi="SimSun" w:cs="SimSun" w:hint="eastAsia"/>
          <w:b w:val="0"/>
          <w:bCs/>
          <w:sz w:val="24"/>
          <w:szCs w:val="24"/>
          <w:lang w:eastAsia="zh-CN"/>
        </w:rPr>
        <w:t>.</w:t>
      </w:r>
      <w:r>
        <w:rPr>
          <w:rFonts w:ascii="Times New Roman" w:hAnsi="Times New Roman"/>
          <w:b w:val="0"/>
          <w:bCs/>
          <w:sz w:val="24"/>
          <w:szCs w:val="24"/>
        </w:rPr>
        <w:t xml:space="preserve"> Yellow color 150–350 HU (Quality D4), green </w:t>
      </w:r>
      <w:r>
        <w:rPr>
          <w:rFonts w:ascii="Times New Roman" w:hAnsi="Times New Roman"/>
          <w:b w:val="0"/>
          <w:bCs/>
          <w:spacing w:val="-3"/>
          <w:sz w:val="24"/>
          <w:szCs w:val="24"/>
        </w:rPr>
        <w:t>color 350–850 HU (Quality D3), blue color 850–1250 HU (Quality D2), and red color &gt; 1250</w:t>
      </w:r>
      <w:r>
        <w:rPr>
          <w:rFonts w:ascii="Times New Roman" w:hAnsi="Times New Roman"/>
          <w:b w:val="0"/>
          <w:bCs/>
          <w:sz w:val="24"/>
          <w:szCs w:val="24"/>
        </w:rPr>
        <w:t xml:space="preserve"> HU (similar to Quality D1) (AMIDE images).</w:t>
      </w:r>
    </w:p>
    <w:p w14:paraId="69A83F3A" w14:textId="77777777" w:rsidR="001612D5" w:rsidRDefault="00000000">
      <w:pPr>
        <w:spacing w:beforeLines="100" w:before="312" w:afterLines="100" w:after="312" w:line="300" w:lineRule="atLeast"/>
        <w:jc w:val="center"/>
        <w:rPr>
          <w:rFonts w:ascii="Times New Roman" w:hAnsi="Times New Roman"/>
          <w:iCs/>
          <w:sz w:val="24"/>
          <w:szCs w:val="24"/>
          <w:lang w:bidi="en-US"/>
        </w:rPr>
      </w:pPr>
      <w:r>
        <w:rPr>
          <w:rFonts w:ascii="Times New Roman" w:hAnsi="Times New Roman"/>
          <w:iCs/>
          <w:noProof/>
          <w:sz w:val="24"/>
          <w:szCs w:val="24"/>
          <w:lang w:bidi="en-US"/>
        </w:rPr>
        <w:drawing>
          <wp:inline distT="0" distB="0" distL="0" distR="0" wp14:anchorId="1A7D9CBE" wp14:editId="36004E91">
            <wp:extent cx="4331677" cy="2786745"/>
            <wp:effectExtent l="0" t="0" r="0" b="0"/>
            <wp:docPr id="11" name="Imagen 1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0020" cy="2817846"/>
                    </a:xfrm>
                    <a:prstGeom prst="rect">
                      <a:avLst/>
                    </a:prstGeom>
                  </pic:spPr>
                </pic:pic>
              </a:graphicData>
            </a:graphic>
          </wp:inline>
        </w:drawing>
      </w:r>
    </w:p>
    <w:p w14:paraId="768E7673" w14:textId="77777777" w:rsidR="001612D5" w:rsidRDefault="00000000">
      <w:pPr>
        <w:spacing w:beforeLines="100" w:before="312" w:afterLines="100" w:after="312" w:line="300" w:lineRule="atLeast"/>
        <w:ind w:left="567" w:right="567"/>
        <w:rPr>
          <w:rFonts w:ascii="Times New Roman" w:hAnsi="Times New Roman"/>
          <w:iCs/>
          <w:sz w:val="24"/>
          <w:szCs w:val="24"/>
          <w:lang w:bidi="en-US"/>
        </w:rPr>
      </w:pPr>
      <w:r>
        <w:rPr>
          <w:rFonts w:ascii="Times New Roman" w:hAnsi="Times New Roman"/>
          <w:b/>
          <w:sz w:val="24"/>
          <w:szCs w:val="24"/>
        </w:rPr>
        <w:t>Figure 8</w:t>
      </w:r>
      <w:r>
        <w:rPr>
          <w:rFonts w:ascii="Times New Roman" w:hAnsi="Times New Roman"/>
          <w:bCs/>
          <w:sz w:val="24"/>
          <w:szCs w:val="24"/>
        </w:rPr>
        <w:t xml:space="preserve">. </w:t>
      </w:r>
      <w:proofErr w:type="spellStart"/>
      <w:r>
        <w:rPr>
          <w:rFonts w:ascii="Times New Roman" w:hAnsi="Times New Roman"/>
          <w:bCs/>
          <w:sz w:val="24"/>
          <w:szCs w:val="24"/>
        </w:rPr>
        <w:t>Isocontours</w:t>
      </w:r>
      <w:proofErr w:type="spellEnd"/>
      <w:r>
        <w:rPr>
          <w:rFonts w:ascii="Times New Roman" w:hAnsi="Times New Roman"/>
          <w:bCs/>
          <w:sz w:val="24"/>
          <w:szCs w:val="24"/>
        </w:rPr>
        <w:t xml:space="preserve"> of all measurements in all teeth areas</w:t>
      </w:r>
      <w:r>
        <w:rPr>
          <w:rFonts w:ascii="Times New Roman" w:hAnsi="Times New Roman" w:hint="eastAsia"/>
          <w:bCs/>
          <w:sz w:val="24"/>
          <w:szCs w:val="24"/>
        </w:rPr>
        <w:t>.</w:t>
      </w:r>
      <w:r>
        <w:rPr>
          <w:rFonts w:ascii="Times New Roman" w:hAnsi="Times New Roman"/>
          <w:bCs/>
          <w:sz w:val="24"/>
          <w:szCs w:val="24"/>
        </w:rPr>
        <w:t xml:space="preserve"> Yellow color 150–350 HU (Quality D4), green color 350–850 HU (Quality D3), blue color 850–1250 HU (Quality D2), and red color &gt; 1250 HU (similar to Quality D1) (AMIDE images).</w:t>
      </w:r>
    </w:p>
    <w:p w14:paraId="52630693" w14:textId="77777777" w:rsidR="001612D5" w:rsidRDefault="00000000">
      <w:pPr>
        <w:pStyle w:val="Prrafodelista"/>
        <w:numPr>
          <w:ilvl w:val="1"/>
          <w:numId w:val="2"/>
        </w:numPr>
        <w:spacing w:beforeLines="100" w:before="312" w:afterLines="100" w:after="312" w:line="300" w:lineRule="atLeast"/>
        <w:ind w:left="0" w:firstLineChars="0" w:firstLine="0"/>
        <w:rPr>
          <w:rFonts w:ascii="Times New Roman" w:hAnsi="Times New Roman"/>
          <w:i/>
          <w:sz w:val="24"/>
          <w:szCs w:val="24"/>
        </w:rPr>
      </w:pPr>
      <w:r>
        <w:rPr>
          <w:rFonts w:ascii="Times New Roman" w:hAnsi="Times New Roman"/>
          <w:bCs/>
          <w:i/>
          <w:sz w:val="24"/>
          <w:szCs w:val="24"/>
        </w:rPr>
        <w:t>Statistical Analysis</w:t>
      </w:r>
    </w:p>
    <w:p w14:paraId="3C00055A" w14:textId="77777777" w:rsidR="001612D5" w:rsidRDefault="00000000">
      <w:pPr>
        <w:autoSpaceDE w:val="0"/>
        <w:autoSpaceDN w:val="0"/>
        <w:adjustRightInd w:val="0"/>
        <w:spacing w:line="300" w:lineRule="atLeast"/>
        <w:ind w:firstLineChars="200" w:firstLine="480"/>
        <w:rPr>
          <w:rFonts w:ascii="Times New Roman" w:hAnsi="Times New Roman"/>
          <w:sz w:val="24"/>
          <w:szCs w:val="24"/>
          <w:lang w:bidi="en-US"/>
        </w:rPr>
      </w:pPr>
      <w:r>
        <w:rPr>
          <w:rFonts w:ascii="Times New Roman" w:hAnsi="Times New Roman"/>
          <w:sz w:val="24"/>
          <w:szCs w:val="24"/>
          <w:lang w:bidi="en-US"/>
        </w:rPr>
        <w:t xml:space="preserve">Descriptive analysis was performed with </w:t>
      </w:r>
      <w:r>
        <w:rPr>
          <w:rFonts w:ascii="Times New Roman" w:hAnsi="Times New Roman"/>
          <w:sz w:val="24"/>
          <w:szCs w:val="24"/>
          <w:lang w:val="en-GB" w:bidi="en-US"/>
        </w:rPr>
        <w:t xml:space="preserve">statistical package for social science (SPSS for Windows version 15.0). </w:t>
      </w:r>
      <w:r>
        <w:rPr>
          <w:rFonts w:ascii="Times New Roman" w:hAnsi="Times New Roman"/>
          <w:sz w:val="24"/>
          <w:szCs w:val="24"/>
          <w:lang w:bidi="en-US"/>
        </w:rPr>
        <w:t xml:space="preserve">The statistical power obtained evaluated 168 box locations in 24 implants placed in 6 hemimandible dogs (7 of each implant) and four </w:t>
      </w:r>
      <w:proofErr w:type="spellStart"/>
      <w:r>
        <w:rPr>
          <w:rFonts w:ascii="Times New Roman" w:hAnsi="Times New Roman"/>
          <w:sz w:val="24"/>
          <w:szCs w:val="24"/>
          <w:lang w:bidi="en-US"/>
        </w:rPr>
        <w:t>isocontours</w:t>
      </w:r>
      <w:proofErr w:type="spellEnd"/>
      <w:r>
        <w:rPr>
          <w:rFonts w:ascii="Times New Roman" w:hAnsi="Times New Roman"/>
          <w:sz w:val="24"/>
          <w:szCs w:val="24"/>
          <w:lang w:bidi="en-US"/>
        </w:rPr>
        <w:t xml:space="preserve">. Bone density variables were analyzed in crestal, mid, and apical areas. These sample sizes allow, using the t-test for independent groups and with a power of 80% and 6% alpha error, the detection of an estimated Cohen’s d of 0.45 (below a medium effect size according to Cohen’s scale when comparing HU measurements between two </w:t>
      </w:r>
      <w:r>
        <w:rPr>
          <w:rFonts w:ascii="Times New Roman" w:hAnsi="Times New Roman"/>
          <w:sz w:val="24"/>
          <w:szCs w:val="24"/>
          <w:lang w:bidi="en-US"/>
        </w:rPr>
        <w:lastRenderedPageBreak/>
        <w:t xml:space="preserve">groups). </w:t>
      </w:r>
      <w:r>
        <w:rPr>
          <w:rFonts w:ascii="Times New Roman" w:hAnsi="Times New Roman"/>
          <w:sz w:val="24"/>
          <w:szCs w:val="24"/>
          <w:lang w:val="en-GB" w:bidi="en-US"/>
        </w:rPr>
        <w:t xml:space="preserve">The results are expressed as mean ± S.D. Differences between groups related to the surface in each density range (HU) were </w:t>
      </w:r>
      <w:proofErr w:type="spellStart"/>
      <w:r>
        <w:rPr>
          <w:rFonts w:ascii="Times New Roman" w:hAnsi="Times New Roman"/>
          <w:sz w:val="24"/>
          <w:szCs w:val="24"/>
          <w:lang w:val="en-GB" w:bidi="en-US"/>
        </w:rPr>
        <w:t>analyzed</w:t>
      </w:r>
      <w:proofErr w:type="spellEnd"/>
      <w:r>
        <w:rPr>
          <w:rFonts w:ascii="Times New Roman" w:hAnsi="Times New Roman"/>
          <w:sz w:val="24"/>
          <w:szCs w:val="24"/>
          <w:lang w:val="en-GB" w:bidi="en-US"/>
        </w:rPr>
        <w:t xml:space="preserve"> by Student’s t-test and Tukey’s post hoc test. Differences were considered statistically significant when p &lt; 0.05.</w:t>
      </w:r>
    </w:p>
    <w:p w14:paraId="67DA2044" w14:textId="77777777" w:rsidR="001612D5" w:rsidRDefault="00000000">
      <w:pPr>
        <w:pStyle w:val="Prrafodelista"/>
        <w:numPr>
          <w:ilvl w:val="0"/>
          <w:numId w:val="2"/>
        </w:numPr>
        <w:spacing w:beforeLines="100" w:before="312" w:afterLines="100" w:after="312" w:line="300" w:lineRule="atLeast"/>
        <w:ind w:left="0" w:firstLineChars="0" w:firstLine="0"/>
        <w:rPr>
          <w:rFonts w:ascii="Times New Roman" w:hAnsi="Times New Roman"/>
          <w:b/>
          <w:sz w:val="24"/>
          <w:szCs w:val="24"/>
        </w:rPr>
      </w:pPr>
      <w:r>
        <w:rPr>
          <w:rFonts w:ascii="Times New Roman" w:hAnsi="Times New Roman"/>
          <w:b/>
          <w:sz w:val="24"/>
          <w:szCs w:val="24"/>
        </w:rPr>
        <w:t>Results</w:t>
      </w:r>
    </w:p>
    <w:p w14:paraId="3614B0FD" w14:textId="01F0CC1F" w:rsidR="001612D5" w:rsidRDefault="00000000">
      <w:pPr>
        <w:autoSpaceDE w:val="0"/>
        <w:autoSpaceDN w:val="0"/>
        <w:adjustRightInd w:val="0"/>
        <w:spacing w:line="300" w:lineRule="atLeast"/>
        <w:ind w:firstLineChars="200" w:firstLine="480"/>
        <w:rPr>
          <w:rFonts w:ascii="Times New Roman" w:hAnsi="Times New Roman"/>
          <w:bCs/>
          <w:sz w:val="24"/>
          <w:szCs w:val="24"/>
          <w:lang w:bidi="en-US"/>
        </w:rPr>
      </w:pPr>
      <w:proofErr w:type="spellStart"/>
      <w:r>
        <w:rPr>
          <w:rFonts w:ascii="Times New Roman" w:hAnsi="Times New Roman"/>
          <w:bCs/>
          <w:sz w:val="24"/>
          <w:szCs w:val="24"/>
          <w:lang w:bidi="en-US"/>
        </w:rPr>
        <w:t>MicroCT</w:t>
      </w:r>
      <w:proofErr w:type="spellEnd"/>
      <w:r>
        <w:rPr>
          <w:rFonts w:ascii="Times New Roman" w:hAnsi="Times New Roman"/>
          <w:bCs/>
          <w:sz w:val="24"/>
          <w:szCs w:val="24"/>
          <w:lang w:bidi="en-US"/>
        </w:rPr>
        <w:t xml:space="preserve"> evaluation was done with the data of the mean of Hounsfield units obtained around the hole one-piece implant. The results obtained comparing Laser and acid-etched surfaces ROIs values were </w:t>
      </w:r>
      <w:proofErr w:type="spellStart"/>
      <w:r w:rsidRPr="003764E2">
        <w:rPr>
          <w:rFonts w:ascii="Times New Roman" w:hAnsi="Times New Roman"/>
          <w:bCs/>
          <w:sz w:val="24"/>
          <w:szCs w:val="24"/>
          <w:highlight w:val="yellow"/>
          <w:lang w:bidi="en-US"/>
        </w:rPr>
        <w:t>Fixo</w:t>
      </w:r>
      <w:proofErr w:type="spellEnd"/>
      <w:r w:rsidRPr="003764E2">
        <w:rPr>
          <w:rFonts w:ascii="Times New Roman" w:hAnsi="Times New Roman"/>
          <w:bCs/>
          <w:sz w:val="24"/>
          <w:szCs w:val="24"/>
          <w:highlight w:val="yellow"/>
          <w:lang w:bidi="en-US"/>
        </w:rPr>
        <w:t xml:space="preserve"> Laser Surface 540</w:t>
      </w:r>
      <w:r w:rsidR="003764E2" w:rsidRPr="003764E2">
        <w:rPr>
          <w:rFonts w:ascii="Times New Roman" w:hAnsi="Times New Roman"/>
          <w:bCs/>
          <w:sz w:val="24"/>
          <w:szCs w:val="24"/>
          <w:highlight w:val="yellow"/>
          <w:lang w:bidi="en-US"/>
        </w:rPr>
        <w:t>.</w:t>
      </w:r>
      <w:r w:rsidRPr="003764E2">
        <w:rPr>
          <w:rFonts w:ascii="Times New Roman" w:hAnsi="Times New Roman"/>
          <w:bCs/>
          <w:sz w:val="24"/>
          <w:szCs w:val="24"/>
          <w:highlight w:val="yellow"/>
          <w:lang w:bidi="en-US"/>
        </w:rPr>
        <w:t xml:space="preserve">14 ± 0.23 Hounsfield units (HU), and </w:t>
      </w:r>
      <w:proofErr w:type="spellStart"/>
      <w:r w:rsidRPr="003764E2">
        <w:rPr>
          <w:rFonts w:ascii="Times New Roman" w:hAnsi="Times New Roman"/>
          <w:bCs/>
          <w:sz w:val="24"/>
          <w:szCs w:val="24"/>
          <w:highlight w:val="yellow"/>
          <w:lang w:bidi="en-US"/>
        </w:rPr>
        <w:t>fixo</w:t>
      </w:r>
      <w:proofErr w:type="spellEnd"/>
      <w:r w:rsidRPr="003764E2">
        <w:rPr>
          <w:rFonts w:ascii="Times New Roman" w:hAnsi="Times New Roman"/>
          <w:bCs/>
          <w:sz w:val="24"/>
          <w:szCs w:val="24"/>
          <w:highlight w:val="yellow"/>
          <w:lang w:bidi="en-US"/>
        </w:rPr>
        <w:t xml:space="preserve"> acid-etched surface was 516</w:t>
      </w:r>
      <w:r w:rsidR="003764E2" w:rsidRPr="003764E2">
        <w:rPr>
          <w:rFonts w:ascii="Times New Roman" w:hAnsi="Times New Roman"/>
          <w:bCs/>
          <w:sz w:val="24"/>
          <w:szCs w:val="24"/>
          <w:highlight w:val="yellow"/>
          <w:lang w:bidi="en-US"/>
        </w:rPr>
        <w:t>.</w:t>
      </w:r>
      <w:r w:rsidRPr="003764E2">
        <w:rPr>
          <w:rFonts w:ascii="Times New Roman" w:hAnsi="Times New Roman"/>
          <w:bCs/>
          <w:sz w:val="24"/>
          <w:szCs w:val="24"/>
          <w:highlight w:val="yellow"/>
          <w:lang w:bidi="en-US"/>
        </w:rPr>
        <w:t>22 ± 0</w:t>
      </w:r>
      <w:r w:rsidR="003764E2" w:rsidRPr="003764E2">
        <w:rPr>
          <w:rFonts w:ascii="Times New Roman" w:hAnsi="Times New Roman"/>
          <w:bCs/>
          <w:sz w:val="24"/>
          <w:szCs w:val="24"/>
          <w:highlight w:val="yellow"/>
          <w:lang w:bidi="en-US"/>
        </w:rPr>
        <w:t>.</w:t>
      </w:r>
      <w:r w:rsidRPr="003764E2">
        <w:rPr>
          <w:rFonts w:ascii="Times New Roman" w:hAnsi="Times New Roman"/>
          <w:bCs/>
          <w:sz w:val="24"/>
          <w:szCs w:val="24"/>
          <w:highlight w:val="yellow"/>
          <w:lang w:bidi="en-US"/>
        </w:rPr>
        <w:t>22 HU.</w:t>
      </w:r>
      <w:r>
        <w:rPr>
          <w:rFonts w:ascii="Times New Roman" w:hAnsi="Times New Roman"/>
          <w:bCs/>
          <w:sz w:val="24"/>
          <w:szCs w:val="24"/>
          <w:lang w:bidi="en-US"/>
        </w:rPr>
        <w:t xml:space="preserve"> This means that the laser surface got more new bone around the implants compared with the standard acid-etched surface (Figure 9). The results mean that the Laser surface treatment has more clot retention and quick bone formation around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implants from the middle to the crestal part of the implant. The acid-etched surface, which is the commercial surface of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implants, demonstrated that the bone formation around the implants gets solid and stable at three months of healing.</w:t>
      </w:r>
    </w:p>
    <w:p w14:paraId="52D69D0C" w14:textId="77777777" w:rsidR="001612D5" w:rsidRDefault="00000000">
      <w:pPr>
        <w:autoSpaceDE w:val="0"/>
        <w:autoSpaceDN w:val="0"/>
        <w:adjustRightInd w:val="0"/>
        <w:spacing w:line="360" w:lineRule="auto"/>
        <w:jc w:val="center"/>
        <w:rPr>
          <w:rFonts w:ascii="Times New Roman" w:hAnsi="Times New Roman"/>
          <w:bCs/>
          <w:sz w:val="24"/>
          <w:szCs w:val="24"/>
          <w:lang w:bidi="en-US"/>
        </w:rPr>
      </w:pPr>
      <w:r>
        <w:rPr>
          <w:noProof/>
        </w:rPr>
        <w:drawing>
          <wp:inline distT="0" distB="0" distL="0" distR="0" wp14:anchorId="064DEB4D" wp14:editId="7648916E">
            <wp:extent cx="4882515" cy="2819400"/>
            <wp:effectExtent l="0" t="0" r="13335" b="0"/>
            <wp:docPr id="17" name="Gráfico 17"/>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17" name="Gráfico 17"/>
                    <pic:cNvPicPr>
                      <a:picLocks noGrp="1" noChangeAspect="1" noMove="1" noResize="1" noEditPoints="1" noAdjustHandles="1" noChangeArrowheads="1" noChangeShapeType="1"/>
                    </pic:cNvPicPr>
                  </pic:nvPicPr>
                  <pic:blipFill>
                    <a:blip r:embed="rId17"/>
                    <a:stretch>
                      <a:fillRect/>
                    </a:stretch>
                  </pic:blipFill>
                  <pic:spPr>
                    <a:xfrm>
                      <a:off x="0" y="0"/>
                      <a:ext cx="4882515" cy="2819400"/>
                    </a:xfrm>
                    <a:prstGeom prst="rect">
                      <a:avLst/>
                    </a:prstGeom>
                  </pic:spPr>
                </pic:pic>
              </a:graphicData>
            </a:graphic>
          </wp:inline>
        </w:drawing>
      </w:r>
    </w:p>
    <w:p w14:paraId="0E53A59C" w14:textId="77777777" w:rsidR="001612D5" w:rsidRDefault="00000000">
      <w:pPr>
        <w:pStyle w:val="MDPI21heading1"/>
        <w:spacing w:beforeLines="100" w:before="312" w:afterLines="100" w:after="312" w:line="300" w:lineRule="atLeast"/>
        <w:ind w:left="0"/>
        <w:jc w:val="center"/>
        <w:outlineLvl w:val="9"/>
        <w:rPr>
          <w:rFonts w:ascii="Times New Roman" w:hAnsi="Times New Roman"/>
          <w:sz w:val="24"/>
          <w:szCs w:val="24"/>
        </w:rPr>
      </w:pPr>
      <w:r>
        <w:rPr>
          <w:rFonts w:ascii="Times New Roman" w:hAnsi="Times New Roman"/>
          <w:sz w:val="24"/>
          <w:szCs w:val="24"/>
        </w:rPr>
        <w:t xml:space="preserve">Figure 9. </w:t>
      </w:r>
      <w:r>
        <w:rPr>
          <w:rFonts w:ascii="Times New Roman" w:hAnsi="Times New Roman"/>
          <w:b w:val="0"/>
          <w:bCs/>
          <w:sz w:val="24"/>
          <w:szCs w:val="24"/>
        </w:rPr>
        <w:t>Evaluation of two different surfaces comparison ROIs.</w:t>
      </w:r>
    </w:p>
    <w:p w14:paraId="3A0519C1" w14:textId="77777777" w:rsidR="001612D5" w:rsidRDefault="00000000">
      <w:pPr>
        <w:autoSpaceDE w:val="0"/>
        <w:autoSpaceDN w:val="0"/>
        <w:adjustRightInd w:val="0"/>
        <w:spacing w:beforeLines="100" w:before="312" w:line="300" w:lineRule="atLeast"/>
        <w:ind w:firstLineChars="200" w:firstLine="480"/>
        <w:rPr>
          <w:rFonts w:ascii="Times New Roman" w:hAnsi="Times New Roman"/>
          <w:bCs/>
          <w:sz w:val="24"/>
          <w:szCs w:val="24"/>
          <w:lang w:bidi="en-US"/>
        </w:rPr>
      </w:pPr>
      <w:proofErr w:type="spellStart"/>
      <w:r>
        <w:rPr>
          <w:rFonts w:ascii="Times New Roman" w:hAnsi="Times New Roman"/>
          <w:bCs/>
          <w:sz w:val="24"/>
          <w:szCs w:val="24"/>
          <w:lang w:bidi="en-US"/>
        </w:rPr>
        <w:t>Periotest</w:t>
      </w:r>
      <w:proofErr w:type="spellEnd"/>
      <w:r>
        <w:rPr>
          <w:rFonts w:ascii="Times New Roman" w:hAnsi="Times New Roman"/>
          <w:bCs/>
          <w:sz w:val="24"/>
          <w:szCs w:val="24"/>
          <w:lang w:bidi="en-US"/>
        </w:rPr>
        <w:t xml:space="preserve"> values (PTV) were at the day of implant placement with the Laser surface </w:t>
      </w:r>
      <w:r>
        <w:rPr>
          <w:rFonts w:ascii="Times New Roman" w:hAnsi="Times New Roman"/>
          <w:sz w:val="24"/>
          <w:szCs w:val="24"/>
        </w:rPr>
        <w:t>−</w:t>
      </w:r>
      <w:r>
        <w:rPr>
          <w:rFonts w:ascii="Times New Roman" w:hAnsi="Times New Roman"/>
          <w:bCs/>
          <w:sz w:val="24"/>
          <w:szCs w:val="24"/>
          <w:lang w:bidi="en-US"/>
        </w:rPr>
        <w:t xml:space="preserve">6.79 ± 0.31, significantly higher compared with the acid-etched surface in acid-etched surface </w:t>
      </w:r>
      <w:r>
        <w:rPr>
          <w:rFonts w:ascii="Times New Roman" w:hAnsi="Times New Roman"/>
          <w:sz w:val="24"/>
          <w:szCs w:val="24"/>
        </w:rPr>
        <w:t>−</w:t>
      </w:r>
      <w:r>
        <w:rPr>
          <w:rFonts w:ascii="Times New Roman" w:hAnsi="Times New Roman"/>
          <w:bCs/>
          <w:sz w:val="24"/>
          <w:szCs w:val="24"/>
          <w:lang w:bidi="en-US"/>
        </w:rPr>
        <w:t xml:space="preserve">4.33 ± 0.54. The same values were obtained at three months with a laser surface of </w:t>
      </w:r>
      <w:r>
        <w:rPr>
          <w:rFonts w:ascii="Times New Roman" w:hAnsi="Times New Roman"/>
          <w:sz w:val="24"/>
          <w:szCs w:val="24"/>
        </w:rPr>
        <w:t>−</w:t>
      </w:r>
      <w:r>
        <w:rPr>
          <w:rFonts w:ascii="Times New Roman" w:hAnsi="Times New Roman"/>
          <w:bCs/>
          <w:sz w:val="24"/>
          <w:szCs w:val="24"/>
          <w:lang w:bidi="en-US"/>
        </w:rPr>
        <w:t xml:space="preserve">7.79 ± 0.45* compared with an acid-etched surface of </w:t>
      </w:r>
      <w:r>
        <w:rPr>
          <w:rFonts w:ascii="Times New Roman" w:hAnsi="Times New Roman"/>
          <w:sz w:val="24"/>
          <w:szCs w:val="24"/>
        </w:rPr>
        <w:t>−</w:t>
      </w:r>
      <w:r>
        <w:rPr>
          <w:rFonts w:ascii="Times New Roman" w:hAnsi="Times New Roman"/>
          <w:bCs/>
          <w:sz w:val="24"/>
          <w:szCs w:val="24"/>
          <w:lang w:bidi="en-US"/>
        </w:rPr>
        <w:t xml:space="preserve">5.83 ± 0.29 </w:t>
      </w:r>
      <w:r>
        <w:rPr>
          <w:rFonts w:ascii="Times New Roman" w:hAnsi="Times New Roman" w:hint="eastAsia"/>
          <w:bCs/>
          <w:sz w:val="24"/>
          <w:szCs w:val="24"/>
          <w:lang w:bidi="en-US"/>
        </w:rPr>
        <w:t>(</w:t>
      </w:r>
      <w:r>
        <w:rPr>
          <w:rFonts w:ascii="Times New Roman" w:hAnsi="Times New Roman"/>
          <w:bCs/>
          <w:sz w:val="24"/>
          <w:szCs w:val="24"/>
          <w:lang w:bidi="en-US"/>
        </w:rPr>
        <w:t>Table 1).</w:t>
      </w:r>
    </w:p>
    <w:p w14:paraId="70B9D0E9" w14:textId="77777777" w:rsidR="001612D5" w:rsidRDefault="00000000">
      <w:pPr>
        <w:pStyle w:val="MDPI21heading1"/>
        <w:spacing w:beforeLines="100" w:before="312" w:afterLines="50" w:after="156" w:line="300" w:lineRule="atLeast"/>
        <w:ind w:left="0"/>
        <w:jc w:val="center"/>
        <w:outlineLvl w:val="9"/>
        <w:rPr>
          <w:rFonts w:ascii="Times New Roman" w:hAnsi="Times New Roman"/>
          <w:b w:val="0"/>
          <w:sz w:val="24"/>
          <w:szCs w:val="24"/>
        </w:rPr>
      </w:pPr>
      <w:r>
        <w:rPr>
          <w:rFonts w:ascii="Times New Roman" w:hAnsi="Times New Roman"/>
          <w:bCs/>
          <w:sz w:val="24"/>
          <w:szCs w:val="24"/>
        </w:rPr>
        <w:t>Table 1</w:t>
      </w:r>
      <w:r>
        <w:rPr>
          <w:rFonts w:ascii="Times New Roman" w:hAnsi="Times New Roman"/>
          <w:b w:val="0"/>
          <w:sz w:val="24"/>
          <w:szCs w:val="24"/>
        </w:rPr>
        <w:t xml:space="preserve">. Comparison of </w:t>
      </w:r>
      <w:proofErr w:type="spellStart"/>
      <w:r>
        <w:rPr>
          <w:rFonts w:ascii="Times New Roman" w:hAnsi="Times New Roman"/>
          <w:b w:val="0"/>
          <w:sz w:val="24"/>
          <w:szCs w:val="24"/>
        </w:rPr>
        <w:t>Periotest</w:t>
      </w:r>
      <w:proofErr w:type="spellEnd"/>
      <w:r>
        <w:rPr>
          <w:rFonts w:ascii="Times New Roman" w:hAnsi="Times New Roman"/>
          <w:b w:val="0"/>
          <w:sz w:val="24"/>
          <w:szCs w:val="24"/>
        </w:rPr>
        <w:t>® (PT) values between groups (*</w:t>
      </w:r>
      <w:r>
        <w:rPr>
          <w:rFonts w:ascii="Times New Roman" w:hAnsi="Times New Roman"/>
          <w:b w:val="0"/>
          <w:i/>
          <w:sz w:val="24"/>
          <w:szCs w:val="24"/>
        </w:rPr>
        <w:t>p</w:t>
      </w:r>
      <w:r>
        <w:rPr>
          <w:rFonts w:ascii="Times New Roman" w:hAnsi="Times New Roman"/>
          <w:b w:val="0"/>
          <w:sz w:val="24"/>
          <w:szCs w:val="24"/>
        </w:rPr>
        <w:t xml:space="preserve"> &lt; 0.05).</w:t>
      </w:r>
    </w:p>
    <w:tbl>
      <w:tblPr>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3292"/>
        <w:gridCol w:w="2152"/>
        <w:gridCol w:w="2152"/>
        <w:gridCol w:w="2150"/>
      </w:tblGrid>
      <w:tr w:rsidR="001612D5" w14:paraId="168D932D" w14:textId="77777777">
        <w:trPr>
          <w:trHeight w:val="462"/>
        </w:trPr>
        <w:tc>
          <w:tcPr>
            <w:tcW w:w="1689" w:type="pct"/>
            <w:tcBorders>
              <w:top w:val="single" w:sz="4" w:space="0" w:color="000000" w:themeColor="text1"/>
              <w:bottom w:val="single" w:sz="4" w:space="0" w:color="000000" w:themeColor="text1"/>
            </w:tcBorders>
            <w:shd w:val="clear" w:color="auto" w:fill="auto"/>
            <w:noWrap/>
          </w:tcPr>
          <w:p w14:paraId="239065A5" w14:textId="77777777" w:rsidR="001612D5" w:rsidRDefault="00000000">
            <w:pPr>
              <w:rPr>
                <w:rFonts w:ascii="Times New Roman" w:eastAsia="Times New Roman" w:hAnsi="Times New Roman"/>
                <w:sz w:val="24"/>
                <w:szCs w:val="24"/>
                <w:lang w:eastAsia="es-ES"/>
              </w:rPr>
            </w:pPr>
            <w:r>
              <w:rPr>
                <w:rFonts w:ascii="Times New Roman" w:eastAsia="Times New Roman" w:hAnsi="Times New Roman"/>
                <w:sz w:val="24"/>
                <w:szCs w:val="24"/>
                <w:lang w:eastAsia="es-ES"/>
              </w:rPr>
              <w:t>PT values</w:t>
            </w:r>
          </w:p>
        </w:tc>
        <w:tc>
          <w:tcPr>
            <w:tcW w:w="1104" w:type="pct"/>
            <w:tcBorders>
              <w:top w:val="single" w:sz="4" w:space="0" w:color="000000" w:themeColor="text1"/>
              <w:bottom w:val="single" w:sz="4" w:space="0" w:color="000000" w:themeColor="text1"/>
            </w:tcBorders>
            <w:shd w:val="clear" w:color="auto" w:fill="auto"/>
            <w:noWrap/>
          </w:tcPr>
          <w:p w14:paraId="75982D1A"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Day 0</w:t>
            </w:r>
          </w:p>
        </w:tc>
        <w:tc>
          <w:tcPr>
            <w:tcW w:w="1104" w:type="pct"/>
            <w:tcBorders>
              <w:top w:val="single" w:sz="4" w:space="0" w:color="000000" w:themeColor="text1"/>
              <w:bottom w:val="single" w:sz="4" w:space="0" w:color="000000" w:themeColor="text1"/>
            </w:tcBorders>
            <w:shd w:val="clear" w:color="auto" w:fill="auto"/>
            <w:noWrap/>
          </w:tcPr>
          <w:p w14:paraId="6A072731"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1 Month</w:t>
            </w:r>
          </w:p>
        </w:tc>
        <w:tc>
          <w:tcPr>
            <w:tcW w:w="1104" w:type="pct"/>
            <w:tcBorders>
              <w:top w:val="single" w:sz="4" w:space="0" w:color="000000" w:themeColor="text1"/>
              <w:bottom w:val="single" w:sz="4" w:space="0" w:color="000000" w:themeColor="text1"/>
            </w:tcBorders>
            <w:shd w:val="clear" w:color="auto" w:fill="auto"/>
            <w:noWrap/>
          </w:tcPr>
          <w:p w14:paraId="2F77809B"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3 Month</w:t>
            </w:r>
          </w:p>
        </w:tc>
      </w:tr>
      <w:tr w:rsidR="001612D5" w14:paraId="61DC9E66" w14:textId="77777777">
        <w:trPr>
          <w:trHeight w:val="583"/>
        </w:trPr>
        <w:tc>
          <w:tcPr>
            <w:tcW w:w="1689" w:type="pct"/>
            <w:tcBorders>
              <w:top w:val="single" w:sz="4" w:space="0" w:color="000000" w:themeColor="text1"/>
              <w:bottom w:val="nil"/>
            </w:tcBorders>
            <w:shd w:val="clear" w:color="auto" w:fill="auto"/>
            <w:noWrap/>
          </w:tcPr>
          <w:p w14:paraId="5053E928"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Acid etched surface</w:t>
            </w:r>
          </w:p>
        </w:tc>
        <w:tc>
          <w:tcPr>
            <w:tcW w:w="1104" w:type="pct"/>
            <w:tcBorders>
              <w:top w:val="single" w:sz="4" w:space="0" w:color="000000" w:themeColor="text1"/>
              <w:bottom w:val="nil"/>
            </w:tcBorders>
            <w:shd w:val="clear" w:color="auto" w:fill="auto"/>
            <w:noWrap/>
          </w:tcPr>
          <w:p w14:paraId="3E248C22" w14:textId="77777777" w:rsidR="001612D5" w:rsidRDefault="00000000">
            <w:pPr>
              <w:jc w:val="left"/>
              <w:rPr>
                <w:rFonts w:ascii="Times New Roman" w:eastAsia="Times New Roman" w:hAnsi="Times New Roman"/>
                <w:sz w:val="24"/>
                <w:szCs w:val="24"/>
                <w:lang w:eastAsia="es-ES"/>
              </w:rPr>
            </w:pPr>
            <w:r>
              <w:rPr>
                <w:rFonts w:ascii="Times New Roman" w:hAnsi="Times New Roman"/>
                <w:sz w:val="24"/>
                <w:szCs w:val="24"/>
              </w:rPr>
              <w:t>−</w:t>
            </w:r>
            <w:r>
              <w:rPr>
                <w:rFonts w:ascii="Times New Roman" w:eastAsia="Times New Roman" w:hAnsi="Times New Roman"/>
                <w:sz w:val="24"/>
                <w:szCs w:val="24"/>
                <w:lang w:eastAsia="es-ES"/>
              </w:rPr>
              <w:t xml:space="preserve">4.33 </w:t>
            </w:r>
            <w:r>
              <w:rPr>
                <w:rFonts w:ascii="Times New Roman" w:hAnsi="Times New Roman"/>
                <w:bCs/>
                <w:sz w:val="24"/>
                <w:szCs w:val="24"/>
                <w:lang w:bidi="en-US"/>
              </w:rPr>
              <w:t>±</w:t>
            </w:r>
            <w:r>
              <w:rPr>
                <w:rFonts w:ascii="Times New Roman" w:eastAsia="Times New Roman" w:hAnsi="Times New Roman"/>
                <w:sz w:val="24"/>
                <w:szCs w:val="24"/>
                <w:lang w:eastAsia="es-ES"/>
              </w:rPr>
              <w:t xml:space="preserve"> 0.54</w:t>
            </w:r>
          </w:p>
        </w:tc>
        <w:tc>
          <w:tcPr>
            <w:tcW w:w="1104" w:type="pct"/>
            <w:tcBorders>
              <w:top w:val="single" w:sz="4" w:space="0" w:color="000000" w:themeColor="text1"/>
              <w:bottom w:val="nil"/>
            </w:tcBorders>
            <w:shd w:val="clear" w:color="auto" w:fill="auto"/>
            <w:noWrap/>
          </w:tcPr>
          <w:p w14:paraId="1B20BDB5" w14:textId="77777777" w:rsidR="001612D5" w:rsidRDefault="00000000">
            <w:pPr>
              <w:jc w:val="left"/>
              <w:rPr>
                <w:rFonts w:ascii="Times New Roman" w:eastAsia="Times New Roman" w:hAnsi="Times New Roman"/>
                <w:sz w:val="24"/>
                <w:szCs w:val="24"/>
                <w:lang w:eastAsia="es-ES"/>
              </w:rPr>
            </w:pPr>
            <w:r>
              <w:rPr>
                <w:rFonts w:ascii="Times New Roman" w:hAnsi="Times New Roman"/>
                <w:sz w:val="24"/>
                <w:szCs w:val="24"/>
              </w:rPr>
              <w:t>−</w:t>
            </w:r>
            <w:r>
              <w:rPr>
                <w:rFonts w:ascii="Times New Roman" w:eastAsia="Times New Roman" w:hAnsi="Times New Roman"/>
                <w:sz w:val="24"/>
                <w:szCs w:val="24"/>
                <w:lang w:eastAsia="es-ES"/>
              </w:rPr>
              <w:t xml:space="preserve">4.18 </w:t>
            </w:r>
            <w:r>
              <w:rPr>
                <w:rFonts w:ascii="Times New Roman" w:hAnsi="Times New Roman"/>
                <w:bCs/>
                <w:sz w:val="24"/>
                <w:szCs w:val="24"/>
                <w:lang w:bidi="en-US"/>
              </w:rPr>
              <w:t>±</w:t>
            </w:r>
            <w:r>
              <w:rPr>
                <w:rFonts w:ascii="Times New Roman" w:eastAsia="Times New Roman" w:hAnsi="Times New Roman"/>
                <w:sz w:val="24"/>
                <w:szCs w:val="24"/>
                <w:lang w:eastAsia="es-ES"/>
              </w:rPr>
              <w:t xml:space="preserve"> 0.33</w:t>
            </w:r>
          </w:p>
        </w:tc>
        <w:tc>
          <w:tcPr>
            <w:tcW w:w="1104" w:type="pct"/>
            <w:tcBorders>
              <w:top w:val="single" w:sz="4" w:space="0" w:color="000000" w:themeColor="text1"/>
              <w:bottom w:val="nil"/>
            </w:tcBorders>
            <w:shd w:val="clear" w:color="auto" w:fill="auto"/>
            <w:noWrap/>
          </w:tcPr>
          <w:p w14:paraId="521A9BEC" w14:textId="77777777" w:rsidR="001612D5" w:rsidRDefault="00000000">
            <w:pPr>
              <w:jc w:val="left"/>
              <w:rPr>
                <w:rFonts w:ascii="Times New Roman" w:eastAsia="Times New Roman" w:hAnsi="Times New Roman"/>
                <w:sz w:val="24"/>
                <w:szCs w:val="24"/>
                <w:lang w:eastAsia="es-ES"/>
              </w:rPr>
            </w:pPr>
            <w:r>
              <w:rPr>
                <w:rFonts w:ascii="Times New Roman" w:hAnsi="Times New Roman"/>
                <w:sz w:val="24"/>
                <w:szCs w:val="24"/>
              </w:rPr>
              <w:t>−</w:t>
            </w:r>
            <w:r>
              <w:rPr>
                <w:rFonts w:ascii="Times New Roman" w:eastAsia="Times New Roman" w:hAnsi="Times New Roman"/>
                <w:sz w:val="24"/>
                <w:szCs w:val="24"/>
                <w:lang w:eastAsia="es-ES"/>
              </w:rPr>
              <w:t xml:space="preserve">5.83 </w:t>
            </w:r>
            <w:r>
              <w:rPr>
                <w:rFonts w:ascii="Times New Roman" w:hAnsi="Times New Roman"/>
                <w:bCs/>
                <w:sz w:val="24"/>
                <w:szCs w:val="24"/>
                <w:lang w:bidi="en-US"/>
              </w:rPr>
              <w:t>±</w:t>
            </w:r>
            <w:r>
              <w:rPr>
                <w:rFonts w:ascii="Times New Roman" w:eastAsia="Times New Roman" w:hAnsi="Times New Roman"/>
                <w:sz w:val="24"/>
                <w:szCs w:val="24"/>
                <w:lang w:eastAsia="es-ES"/>
              </w:rPr>
              <w:t xml:space="preserve"> 0.29</w:t>
            </w:r>
          </w:p>
        </w:tc>
      </w:tr>
      <w:tr w:rsidR="001612D5" w14:paraId="23499B6B" w14:textId="77777777">
        <w:trPr>
          <w:trHeight w:val="392"/>
        </w:trPr>
        <w:tc>
          <w:tcPr>
            <w:tcW w:w="1689" w:type="pct"/>
            <w:tcBorders>
              <w:top w:val="nil"/>
              <w:bottom w:val="single" w:sz="4" w:space="0" w:color="000000" w:themeColor="text1"/>
            </w:tcBorders>
            <w:shd w:val="clear" w:color="auto" w:fill="auto"/>
            <w:noWrap/>
          </w:tcPr>
          <w:p w14:paraId="67B59DF2"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Laser surface</w:t>
            </w:r>
          </w:p>
        </w:tc>
        <w:tc>
          <w:tcPr>
            <w:tcW w:w="1104" w:type="pct"/>
            <w:tcBorders>
              <w:top w:val="nil"/>
              <w:bottom w:val="single" w:sz="4" w:space="0" w:color="000000" w:themeColor="text1"/>
            </w:tcBorders>
            <w:shd w:val="clear" w:color="auto" w:fill="auto"/>
            <w:noWrap/>
          </w:tcPr>
          <w:p w14:paraId="3D794686" w14:textId="77777777" w:rsidR="001612D5" w:rsidRDefault="00000000">
            <w:pPr>
              <w:jc w:val="left"/>
              <w:rPr>
                <w:rFonts w:ascii="Times New Roman" w:eastAsia="Times New Roman" w:hAnsi="Times New Roman"/>
                <w:sz w:val="24"/>
                <w:szCs w:val="24"/>
                <w:lang w:eastAsia="es-ES"/>
              </w:rPr>
            </w:pPr>
            <w:r>
              <w:rPr>
                <w:rFonts w:ascii="Times New Roman" w:hAnsi="Times New Roman"/>
                <w:sz w:val="24"/>
                <w:szCs w:val="24"/>
              </w:rPr>
              <w:t>−</w:t>
            </w:r>
            <w:r>
              <w:rPr>
                <w:rFonts w:ascii="Times New Roman" w:eastAsia="Times New Roman" w:hAnsi="Times New Roman"/>
                <w:sz w:val="24"/>
                <w:szCs w:val="24"/>
                <w:lang w:eastAsia="es-ES"/>
              </w:rPr>
              <w:t xml:space="preserve">6.79 </w:t>
            </w:r>
            <w:r>
              <w:rPr>
                <w:rFonts w:ascii="Times New Roman" w:hAnsi="Times New Roman"/>
                <w:bCs/>
                <w:sz w:val="24"/>
                <w:szCs w:val="24"/>
                <w:lang w:bidi="en-US"/>
              </w:rPr>
              <w:t>±</w:t>
            </w:r>
            <w:r>
              <w:rPr>
                <w:rFonts w:ascii="Times New Roman" w:eastAsia="Times New Roman" w:hAnsi="Times New Roman"/>
                <w:sz w:val="24"/>
                <w:szCs w:val="24"/>
                <w:lang w:eastAsia="es-ES"/>
              </w:rPr>
              <w:t xml:space="preserve"> 0.31</w:t>
            </w:r>
            <w:r>
              <w:rPr>
                <w:rFonts w:ascii="Times New Roman" w:eastAsia="Times New Roman" w:hAnsi="Times New Roman"/>
                <w:color w:val="000000" w:themeColor="text1"/>
                <w:sz w:val="24"/>
                <w:szCs w:val="24"/>
                <w:lang w:eastAsia="es-ES"/>
              </w:rPr>
              <w:t>*</w:t>
            </w:r>
          </w:p>
        </w:tc>
        <w:tc>
          <w:tcPr>
            <w:tcW w:w="1104" w:type="pct"/>
            <w:tcBorders>
              <w:top w:val="nil"/>
              <w:bottom w:val="single" w:sz="4" w:space="0" w:color="000000" w:themeColor="text1"/>
            </w:tcBorders>
            <w:shd w:val="clear" w:color="auto" w:fill="auto"/>
            <w:noWrap/>
          </w:tcPr>
          <w:p w14:paraId="709354F3" w14:textId="77777777" w:rsidR="001612D5" w:rsidRDefault="00000000">
            <w:pPr>
              <w:jc w:val="left"/>
              <w:rPr>
                <w:rFonts w:ascii="Times New Roman" w:eastAsia="Times New Roman" w:hAnsi="Times New Roman"/>
                <w:color w:val="000000" w:themeColor="text1"/>
                <w:sz w:val="24"/>
                <w:szCs w:val="24"/>
                <w:lang w:eastAsia="es-ES"/>
              </w:rPr>
            </w:pPr>
            <w:r>
              <w:rPr>
                <w:rFonts w:ascii="Times New Roman" w:hAnsi="Times New Roman"/>
                <w:sz w:val="24"/>
                <w:szCs w:val="24"/>
              </w:rPr>
              <w:t>−</w:t>
            </w:r>
            <w:r>
              <w:rPr>
                <w:rFonts w:ascii="Times New Roman" w:eastAsia="Times New Roman" w:hAnsi="Times New Roman"/>
                <w:color w:val="000000" w:themeColor="text1"/>
                <w:sz w:val="24"/>
                <w:szCs w:val="24"/>
                <w:lang w:eastAsia="es-ES"/>
              </w:rPr>
              <w:t xml:space="preserve">6.22 </w:t>
            </w:r>
            <w:r>
              <w:rPr>
                <w:rFonts w:ascii="Times New Roman" w:hAnsi="Times New Roman"/>
                <w:bCs/>
                <w:color w:val="000000" w:themeColor="text1"/>
                <w:sz w:val="24"/>
                <w:szCs w:val="24"/>
                <w:lang w:bidi="en-US"/>
              </w:rPr>
              <w:t>±</w:t>
            </w:r>
            <w:r>
              <w:rPr>
                <w:rFonts w:ascii="Times New Roman" w:eastAsia="Times New Roman" w:hAnsi="Times New Roman"/>
                <w:color w:val="000000" w:themeColor="text1"/>
                <w:sz w:val="24"/>
                <w:szCs w:val="24"/>
                <w:lang w:eastAsia="es-ES"/>
              </w:rPr>
              <w:t xml:space="preserve"> 0.39*</w:t>
            </w:r>
          </w:p>
        </w:tc>
        <w:tc>
          <w:tcPr>
            <w:tcW w:w="1104" w:type="pct"/>
            <w:tcBorders>
              <w:top w:val="nil"/>
              <w:bottom w:val="single" w:sz="4" w:space="0" w:color="000000" w:themeColor="text1"/>
            </w:tcBorders>
            <w:shd w:val="clear" w:color="auto" w:fill="auto"/>
            <w:noWrap/>
          </w:tcPr>
          <w:p w14:paraId="5F2ED90C" w14:textId="77777777" w:rsidR="001612D5" w:rsidRDefault="00000000">
            <w:pPr>
              <w:jc w:val="left"/>
              <w:rPr>
                <w:rFonts w:ascii="Times New Roman" w:eastAsia="Times New Roman" w:hAnsi="Times New Roman"/>
                <w:color w:val="000000" w:themeColor="text1"/>
                <w:sz w:val="24"/>
                <w:szCs w:val="24"/>
                <w:lang w:eastAsia="es-ES"/>
              </w:rPr>
            </w:pPr>
            <w:r>
              <w:rPr>
                <w:rFonts w:ascii="Times New Roman" w:hAnsi="Times New Roman"/>
                <w:sz w:val="24"/>
                <w:szCs w:val="24"/>
              </w:rPr>
              <w:t>−</w:t>
            </w:r>
            <w:r>
              <w:rPr>
                <w:rFonts w:ascii="Times New Roman" w:eastAsia="Times New Roman" w:hAnsi="Times New Roman"/>
                <w:color w:val="000000" w:themeColor="text1"/>
                <w:sz w:val="24"/>
                <w:szCs w:val="24"/>
                <w:lang w:eastAsia="es-ES"/>
              </w:rPr>
              <w:t xml:space="preserve">7.79 </w:t>
            </w:r>
            <w:r>
              <w:rPr>
                <w:rFonts w:ascii="Times New Roman" w:hAnsi="Times New Roman"/>
                <w:bCs/>
                <w:color w:val="000000" w:themeColor="text1"/>
                <w:sz w:val="24"/>
                <w:szCs w:val="24"/>
                <w:lang w:bidi="en-US"/>
              </w:rPr>
              <w:t>±</w:t>
            </w:r>
            <w:r>
              <w:rPr>
                <w:rFonts w:ascii="Times New Roman" w:eastAsia="Times New Roman" w:hAnsi="Times New Roman"/>
                <w:color w:val="000000" w:themeColor="text1"/>
                <w:sz w:val="24"/>
                <w:szCs w:val="24"/>
                <w:lang w:eastAsia="es-ES"/>
              </w:rPr>
              <w:t xml:space="preserve"> 0.45*</w:t>
            </w:r>
          </w:p>
        </w:tc>
      </w:tr>
    </w:tbl>
    <w:p w14:paraId="59DC2D96" w14:textId="77777777" w:rsidR="001612D5" w:rsidRDefault="00000000">
      <w:pPr>
        <w:autoSpaceDE w:val="0"/>
        <w:autoSpaceDN w:val="0"/>
        <w:adjustRightInd w:val="0"/>
        <w:spacing w:beforeLines="100" w:before="312" w:line="300" w:lineRule="atLeast"/>
        <w:ind w:firstLineChars="200" w:firstLine="480"/>
        <w:rPr>
          <w:rFonts w:ascii="Times New Roman" w:hAnsi="Times New Roman"/>
          <w:bCs/>
          <w:sz w:val="24"/>
          <w:szCs w:val="24"/>
          <w:lang w:bidi="en-US"/>
        </w:rPr>
      </w:pPr>
      <w:r>
        <w:rPr>
          <w:rFonts w:ascii="Times New Roman" w:hAnsi="Times New Roman"/>
          <w:bCs/>
          <w:sz w:val="24"/>
          <w:szCs w:val="24"/>
          <w:lang w:bidi="en-US"/>
        </w:rPr>
        <w:lastRenderedPageBreak/>
        <w:t>The most predictable data obtained by our study was the clinical one when we inserted the implants and when we finished the study the implant stability quotient (ISQ) was at the day of implant placement with Laser surface 76.17 ± 2.56* significantly higher compared with the acid-etched surface in acid-etched surface 73.65 ± 0.13. The same values were obtained at three months with a laser surface of 77.66 ± 1.34* compared with an acid-etched surface of 75.89 ± 2.45 (Table 2). Those results meant that Laser surface stimulates new bone formation quicker than a conventional acid-etched surface at one and three months of follow-up.</w:t>
      </w:r>
    </w:p>
    <w:p w14:paraId="681432C9" w14:textId="77777777" w:rsidR="001612D5" w:rsidRDefault="00000000" w:rsidP="00A03B2A">
      <w:pPr>
        <w:autoSpaceDE w:val="0"/>
        <w:autoSpaceDN w:val="0"/>
        <w:adjustRightInd w:val="0"/>
        <w:spacing w:beforeLines="100" w:before="312" w:afterLines="50" w:after="156" w:line="300" w:lineRule="atLeast"/>
        <w:jc w:val="center"/>
        <w:rPr>
          <w:rFonts w:ascii="Times New Roman" w:hAnsi="Times New Roman"/>
          <w:bCs/>
          <w:sz w:val="24"/>
          <w:szCs w:val="24"/>
        </w:rPr>
      </w:pPr>
      <w:r>
        <w:rPr>
          <w:rFonts w:ascii="Times New Roman" w:eastAsia="MS Mincho" w:hAnsi="Times New Roman"/>
          <w:b/>
          <w:sz w:val="24"/>
          <w:szCs w:val="24"/>
          <w:lang w:eastAsia="es-ES"/>
        </w:rPr>
        <w:t>Table 2</w:t>
      </w:r>
      <w:r>
        <w:rPr>
          <w:rFonts w:ascii="Times New Roman" w:eastAsia="MS Mincho" w:hAnsi="Times New Roman"/>
          <w:bCs/>
          <w:sz w:val="24"/>
          <w:szCs w:val="24"/>
          <w:lang w:eastAsia="es-ES"/>
        </w:rPr>
        <w:t xml:space="preserve">. </w:t>
      </w:r>
      <w:r>
        <w:rPr>
          <w:rFonts w:ascii="Times New Roman" w:hAnsi="Times New Roman"/>
          <w:bCs/>
          <w:sz w:val="24"/>
          <w:szCs w:val="24"/>
        </w:rPr>
        <w:t xml:space="preserve">Comparison of </w:t>
      </w:r>
      <w:proofErr w:type="spellStart"/>
      <w:r>
        <w:rPr>
          <w:rFonts w:ascii="Times New Roman" w:hAnsi="Times New Roman"/>
          <w:bCs/>
          <w:sz w:val="24"/>
          <w:szCs w:val="24"/>
        </w:rPr>
        <w:t>Ostell</w:t>
      </w:r>
      <w:proofErr w:type="spellEnd"/>
      <w:r>
        <w:rPr>
          <w:rFonts w:ascii="Times New Roman" w:hAnsi="Times New Roman"/>
          <w:bCs/>
          <w:sz w:val="24"/>
          <w:szCs w:val="24"/>
        </w:rPr>
        <w:t xml:space="preserve"> Mentor® (ISQ) values between groups </w:t>
      </w:r>
      <w:r>
        <w:rPr>
          <w:rFonts w:ascii="Times New Roman" w:hAnsi="Times New Roman"/>
          <w:bCs/>
          <w:color w:val="343434"/>
          <w:sz w:val="24"/>
          <w:szCs w:val="24"/>
        </w:rPr>
        <w:t>(*</w:t>
      </w:r>
      <w:r>
        <w:rPr>
          <w:rFonts w:ascii="Times New Roman" w:hAnsi="Times New Roman"/>
          <w:bCs/>
          <w:i/>
          <w:color w:val="343434"/>
          <w:sz w:val="24"/>
          <w:szCs w:val="24"/>
        </w:rPr>
        <w:t>p</w:t>
      </w:r>
      <w:r>
        <w:rPr>
          <w:rFonts w:ascii="Times New Roman" w:hAnsi="Times New Roman"/>
          <w:bCs/>
          <w:color w:val="343434"/>
          <w:sz w:val="24"/>
          <w:szCs w:val="24"/>
        </w:rPr>
        <w:t xml:space="preserve"> &lt; 0.05).</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305"/>
        <w:gridCol w:w="2205"/>
        <w:gridCol w:w="2031"/>
        <w:gridCol w:w="2205"/>
      </w:tblGrid>
      <w:tr w:rsidR="001612D5" w14:paraId="1A3AF34E" w14:textId="77777777">
        <w:trPr>
          <w:trHeight w:val="412"/>
        </w:trPr>
        <w:tc>
          <w:tcPr>
            <w:tcW w:w="1696" w:type="pct"/>
            <w:tcBorders>
              <w:top w:val="single" w:sz="4" w:space="0" w:color="000000" w:themeColor="text1"/>
              <w:left w:val="nil"/>
              <w:bottom w:val="single" w:sz="4" w:space="0" w:color="000000" w:themeColor="text1"/>
              <w:right w:val="nil"/>
            </w:tcBorders>
            <w:shd w:val="clear" w:color="auto" w:fill="auto"/>
            <w:noWrap/>
          </w:tcPr>
          <w:p w14:paraId="69ED2926" w14:textId="77777777" w:rsidR="001612D5" w:rsidRDefault="00000000">
            <w:pPr>
              <w:rPr>
                <w:rFonts w:ascii="Times New Roman" w:eastAsia="Times New Roman" w:hAnsi="Times New Roman"/>
                <w:sz w:val="24"/>
                <w:szCs w:val="24"/>
                <w:lang w:eastAsia="es-ES"/>
              </w:rPr>
            </w:pPr>
            <w:r>
              <w:rPr>
                <w:rFonts w:ascii="Times New Roman" w:eastAsia="Times New Roman" w:hAnsi="Times New Roman"/>
                <w:sz w:val="24"/>
                <w:szCs w:val="24"/>
                <w:lang w:eastAsia="es-ES"/>
              </w:rPr>
              <w:t>ISQ values</w:t>
            </w:r>
          </w:p>
        </w:tc>
        <w:tc>
          <w:tcPr>
            <w:tcW w:w="1131" w:type="pct"/>
            <w:tcBorders>
              <w:top w:val="single" w:sz="4" w:space="0" w:color="000000" w:themeColor="text1"/>
              <w:left w:val="nil"/>
              <w:bottom w:val="single" w:sz="4" w:space="0" w:color="000000" w:themeColor="text1"/>
              <w:right w:val="nil"/>
            </w:tcBorders>
            <w:shd w:val="clear" w:color="auto" w:fill="auto"/>
            <w:noWrap/>
          </w:tcPr>
          <w:p w14:paraId="4A5098BB"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Day 0</w:t>
            </w:r>
          </w:p>
        </w:tc>
        <w:tc>
          <w:tcPr>
            <w:tcW w:w="1042" w:type="pct"/>
            <w:tcBorders>
              <w:top w:val="single" w:sz="4" w:space="0" w:color="000000" w:themeColor="text1"/>
              <w:left w:val="nil"/>
              <w:bottom w:val="single" w:sz="4" w:space="0" w:color="000000" w:themeColor="text1"/>
              <w:right w:val="nil"/>
            </w:tcBorders>
            <w:shd w:val="clear" w:color="auto" w:fill="auto"/>
            <w:noWrap/>
          </w:tcPr>
          <w:p w14:paraId="1100166D"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1 Month</w:t>
            </w:r>
          </w:p>
        </w:tc>
        <w:tc>
          <w:tcPr>
            <w:tcW w:w="1131" w:type="pct"/>
            <w:tcBorders>
              <w:top w:val="single" w:sz="4" w:space="0" w:color="000000" w:themeColor="text1"/>
              <w:left w:val="nil"/>
              <w:bottom w:val="single" w:sz="4" w:space="0" w:color="000000" w:themeColor="text1"/>
              <w:right w:val="nil"/>
            </w:tcBorders>
            <w:shd w:val="clear" w:color="auto" w:fill="auto"/>
            <w:noWrap/>
          </w:tcPr>
          <w:p w14:paraId="4B691AEE"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3 Month</w:t>
            </w:r>
          </w:p>
        </w:tc>
      </w:tr>
      <w:tr w:rsidR="001612D5" w14:paraId="182E120A" w14:textId="77777777">
        <w:trPr>
          <w:trHeight w:val="519"/>
        </w:trPr>
        <w:tc>
          <w:tcPr>
            <w:tcW w:w="1696" w:type="pct"/>
            <w:tcBorders>
              <w:top w:val="single" w:sz="4" w:space="0" w:color="000000" w:themeColor="text1"/>
              <w:left w:val="nil"/>
              <w:bottom w:val="nil"/>
              <w:right w:val="nil"/>
            </w:tcBorders>
            <w:shd w:val="clear" w:color="auto" w:fill="auto"/>
            <w:noWrap/>
          </w:tcPr>
          <w:p w14:paraId="6294BED1"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Acid etched surface</w:t>
            </w:r>
          </w:p>
        </w:tc>
        <w:tc>
          <w:tcPr>
            <w:tcW w:w="1131" w:type="pct"/>
            <w:tcBorders>
              <w:top w:val="single" w:sz="4" w:space="0" w:color="000000" w:themeColor="text1"/>
              <w:left w:val="nil"/>
              <w:bottom w:val="nil"/>
              <w:right w:val="nil"/>
            </w:tcBorders>
            <w:shd w:val="clear" w:color="auto" w:fill="auto"/>
            <w:noWrap/>
          </w:tcPr>
          <w:p w14:paraId="7F693CB3" w14:textId="77777777" w:rsidR="001612D5" w:rsidRDefault="00000000">
            <w:pPr>
              <w:jc w:val="left"/>
              <w:rPr>
                <w:rFonts w:ascii="Times New Roman" w:eastAsia="Times New Roman" w:hAnsi="Times New Roman"/>
                <w:color w:val="000000" w:themeColor="text1"/>
                <w:sz w:val="24"/>
                <w:szCs w:val="24"/>
                <w:lang w:eastAsia="es-ES"/>
              </w:rPr>
            </w:pPr>
            <w:r>
              <w:rPr>
                <w:rFonts w:ascii="Times New Roman" w:eastAsia="Times New Roman" w:hAnsi="Times New Roman"/>
                <w:color w:val="000000" w:themeColor="text1"/>
                <w:sz w:val="24"/>
                <w:szCs w:val="24"/>
                <w:lang w:eastAsia="es-ES"/>
              </w:rPr>
              <w:t>73.65 ± 0.13</w:t>
            </w:r>
          </w:p>
        </w:tc>
        <w:tc>
          <w:tcPr>
            <w:tcW w:w="1042" w:type="pct"/>
            <w:tcBorders>
              <w:top w:val="single" w:sz="4" w:space="0" w:color="000000" w:themeColor="text1"/>
              <w:left w:val="nil"/>
              <w:bottom w:val="nil"/>
              <w:right w:val="nil"/>
            </w:tcBorders>
            <w:shd w:val="clear" w:color="auto" w:fill="auto"/>
            <w:noWrap/>
          </w:tcPr>
          <w:p w14:paraId="034AAAFF" w14:textId="77777777" w:rsidR="001612D5" w:rsidRDefault="00000000">
            <w:pPr>
              <w:jc w:val="left"/>
              <w:rPr>
                <w:rFonts w:ascii="Times New Roman" w:eastAsia="Times New Roman" w:hAnsi="Times New Roman"/>
                <w:color w:val="000000" w:themeColor="text1"/>
                <w:sz w:val="24"/>
                <w:szCs w:val="24"/>
                <w:lang w:eastAsia="es-ES"/>
              </w:rPr>
            </w:pPr>
            <w:r>
              <w:rPr>
                <w:rFonts w:ascii="Times New Roman" w:eastAsia="Times New Roman" w:hAnsi="Times New Roman"/>
                <w:color w:val="000000" w:themeColor="text1"/>
                <w:sz w:val="24"/>
                <w:szCs w:val="24"/>
                <w:lang w:eastAsia="es-ES"/>
              </w:rPr>
              <w:t>70.56 ± 2.87</w:t>
            </w:r>
          </w:p>
        </w:tc>
        <w:tc>
          <w:tcPr>
            <w:tcW w:w="1131" w:type="pct"/>
            <w:tcBorders>
              <w:top w:val="single" w:sz="4" w:space="0" w:color="000000" w:themeColor="text1"/>
              <w:left w:val="nil"/>
              <w:bottom w:val="nil"/>
              <w:right w:val="nil"/>
            </w:tcBorders>
            <w:shd w:val="clear" w:color="auto" w:fill="auto"/>
            <w:noWrap/>
          </w:tcPr>
          <w:p w14:paraId="628EB7CD" w14:textId="77777777" w:rsidR="001612D5" w:rsidRDefault="00000000">
            <w:pPr>
              <w:jc w:val="left"/>
              <w:rPr>
                <w:rFonts w:ascii="Times New Roman" w:eastAsia="Times New Roman" w:hAnsi="Times New Roman"/>
                <w:color w:val="000000" w:themeColor="text1"/>
                <w:sz w:val="24"/>
                <w:szCs w:val="24"/>
                <w:lang w:eastAsia="es-ES"/>
              </w:rPr>
            </w:pPr>
            <w:r>
              <w:rPr>
                <w:rFonts w:ascii="Times New Roman" w:eastAsia="Times New Roman" w:hAnsi="Times New Roman"/>
                <w:color w:val="000000" w:themeColor="text1"/>
                <w:sz w:val="24"/>
                <w:szCs w:val="24"/>
                <w:lang w:eastAsia="es-ES"/>
              </w:rPr>
              <w:t>75.89 ± 2.45</w:t>
            </w:r>
          </w:p>
        </w:tc>
      </w:tr>
      <w:tr w:rsidR="001612D5" w14:paraId="32378532" w14:textId="77777777">
        <w:trPr>
          <w:trHeight w:val="519"/>
        </w:trPr>
        <w:tc>
          <w:tcPr>
            <w:tcW w:w="1696" w:type="pct"/>
            <w:tcBorders>
              <w:top w:val="nil"/>
              <w:left w:val="nil"/>
              <w:bottom w:val="single" w:sz="4" w:space="0" w:color="000000" w:themeColor="text1"/>
              <w:right w:val="nil"/>
            </w:tcBorders>
            <w:shd w:val="clear" w:color="auto" w:fill="auto"/>
            <w:noWrap/>
          </w:tcPr>
          <w:p w14:paraId="3A76B697" w14:textId="77777777" w:rsidR="001612D5" w:rsidRDefault="00000000">
            <w:pPr>
              <w:jc w:val="left"/>
              <w:rPr>
                <w:rFonts w:ascii="Times New Roman" w:eastAsia="Times New Roman" w:hAnsi="Times New Roman"/>
                <w:sz w:val="24"/>
                <w:szCs w:val="24"/>
                <w:lang w:eastAsia="es-ES"/>
              </w:rPr>
            </w:pPr>
            <w:r>
              <w:rPr>
                <w:rFonts w:ascii="Times New Roman" w:eastAsia="Times New Roman" w:hAnsi="Times New Roman"/>
                <w:sz w:val="24"/>
                <w:szCs w:val="24"/>
                <w:lang w:eastAsia="es-ES"/>
              </w:rPr>
              <w:t>Laser surface</w:t>
            </w:r>
          </w:p>
        </w:tc>
        <w:tc>
          <w:tcPr>
            <w:tcW w:w="1131" w:type="pct"/>
            <w:tcBorders>
              <w:top w:val="nil"/>
              <w:left w:val="nil"/>
              <w:bottom w:val="single" w:sz="4" w:space="0" w:color="000000" w:themeColor="text1"/>
              <w:right w:val="nil"/>
            </w:tcBorders>
            <w:shd w:val="clear" w:color="auto" w:fill="auto"/>
            <w:noWrap/>
          </w:tcPr>
          <w:p w14:paraId="77479818" w14:textId="77777777" w:rsidR="001612D5" w:rsidRDefault="00000000">
            <w:pPr>
              <w:jc w:val="left"/>
              <w:rPr>
                <w:rFonts w:ascii="Times New Roman" w:eastAsia="Times New Roman" w:hAnsi="Times New Roman"/>
                <w:color w:val="000000" w:themeColor="text1"/>
                <w:sz w:val="24"/>
                <w:szCs w:val="24"/>
                <w:lang w:eastAsia="es-ES"/>
              </w:rPr>
            </w:pPr>
            <w:r>
              <w:rPr>
                <w:rFonts w:ascii="Times New Roman" w:eastAsia="Times New Roman" w:hAnsi="Times New Roman"/>
                <w:color w:val="000000" w:themeColor="text1"/>
                <w:sz w:val="24"/>
                <w:szCs w:val="24"/>
                <w:lang w:eastAsia="es-ES"/>
              </w:rPr>
              <w:t>76.17 ± 2.56*</w:t>
            </w:r>
          </w:p>
        </w:tc>
        <w:tc>
          <w:tcPr>
            <w:tcW w:w="1042" w:type="pct"/>
            <w:tcBorders>
              <w:top w:val="nil"/>
              <w:left w:val="nil"/>
              <w:bottom w:val="single" w:sz="4" w:space="0" w:color="000000" w:themeColor="text1"/>
              <w:right w:val="nil"/>
            </w:tcBorders>
            <w:shd w:val="clear" w:color="auto" w:fill="auto"/>
            <w:noWrap/>
          </w:tcPr>
          <w:p w14:paraId="10A2B760" w14:textId="77777777" w:rsidR="001612D5" w:rsidRDefault="00000000">
            <w:pPr>
              <w:jc w:val="left"/>
              <w:rPr>
                <w:rFonts w:ascii="Times New Roman" w:eastAsia="Times New Roman" w:hAnsi="Times New Roman"/>
                <w:color w:val="000000" w:themeColor="text1"/>
                <w:sz w:val="24"/>
                <w:szCs w:val="24"/>
                <w:lang w:eastAsia="es-ES"/>
              </w:rPr>
            </w:pPr>
            <w:r>
              <w:rPr>
                <w:rFonts w:ascii="Times New Roman" w:eastAsia="Times New Roman" w:hAnsi="Times New Roman"/>
                <w:color w:val="000000" w:themeColor="text1"/>
                <w:sz w:val="24"/>
                <w:szCs w:val="24"/>
                <w:lang w:eastAsia="es-ES"/>
              </w:rPr>
              <w:t>71.22± 0.88</w:t>
            </w:r>
          </w:p>
        </w:tc>
        <w:tc>
          <w:tcPr>
            <w:tcW w:w="1131" w:type="pct"/>
            <w:tcBorders>
              <w:top w:val="nil"/>
              <w:left w:val="nil"/>
              <w:bottom w:val="single" w:sz="4" w:space="0" w:color="000000" w:themeColor="text1"/>
              <w:right w:val="nil"/>
            </w:tcBorders>
            <w:shd w:val="clear" w:color="auto" w:fill="auto"/>
            <w:noWrap/>
          </w:tcPr>
          <w:p w14:paraId="4D618BA8" w14:textId="77777777" w:rsidR="001612D5" w:rsidRDefault="00000000">
            <w:pPr>
              <w:jc w:val="left"/>
              <w:rPr>
                <w:rFonts w:ascii="Times New Roman" w:eastAsia="Times New Roman" w:hAnsi="Times New Roman"/>
                <w:color w:val="000000" w:themeColor="text1"/>
                <w:sz w:val="24"/>
                <w:szCs w:val="24"/>
                <w:lang w:eastAsia="es-ES"/>
              </w:rPr>
            </w:pPr>
            <w:r>
              <w:rPr>
                <w:rFonts w:ascii="Times New Roman" w:eastAsia="Times New Roman" w:hAnsi="Times New Roman"/>
                <w:color w:val="000000" w:themeColor="text1"/>
                <w:sz w:val="24"/>
                <w:szCs w:val="24"/>
                <w:lang w:eastAsia="es-ES"/>
              </w:rPr>
              <w:t>77.66 ± 1.34*</w:t>
            </w:r>
          </w:p>
        </w:tc>
      </w:tr>
    </w:tbl>
    <w:p w14:paraId="16FDAEDA" w14:textId="77777777" w:rsidR="001612D5" w:rsidRDefault="00000000">
      <w:pPr>
        <w:autoSpaceDE w:val="0"/>
        <w:autoSpaceDN w:val="0"/>
        <w:adjustRightInd w:val="0"/>
        <w:spacing w:beforeLines="100" w:before="312" w:line="300" w:lineRule="atLeast"/>
        <w:ind w:firstLineChars="200" w:firstLine="480"/>
        <w:rPr>
          <w:rFonts w:ascii="Times New Roman" w:hAnsi="Times New Roman"/>
          <w:bCs/>
          <w:sz w:val="24"/>
          <w:szCs w:val="24"/>
          <w:lang w:bidi="en-US"/>
        </w:rPr>
      </w:pPr>
      <w:r>
        <w:rPr>
          <w:rFonts w:ascii="Times New Roman" w:hAnsi="Times New Roman"/>
          <w:bCs/>
          <w:sz w:val="24"/>
          <w:szCs w:val="24"/>
          <w:lang w:bidi="en-US"/>
        </w:rPr>
        <w:t xml:space="preserve">Micro-CT evaluation showed that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laser surface implants </w:t>
      </w:r>
      <w:proofErr w:type="spellStart"/>
      <w:r>
        <w:rPr>
          <w:rFonts w:ascii="Times New Roman" w:hAnsi="Times New Roman"/>
          <w:bCs/>
          <w:sz w:val="24"/>
          <w:szCs w:val="24"/>
          <w:lang w:bidi="en-US"/>
        </w:rPr>
        <w:t>subcrestally</w:t>
      </w:r>
      <w:proofErr w:type="spellEnd"/>
      <w:r>
        <w:rPr>
          <w:rFonts w:ascii="Times New Roman" w:hAnsi="Times New Roman"/>
          <w:bCs/>
          <w:sz w:val="24"/>
          <w:szCs w:val="24"/>
          <w:lang w:bidi="en-US"/>
        </w:rPr>
        <w:t xml:space="preserve"> placed (test group) have high bone formation at three months compared with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acid-etched implants. Density D3 and D4 were found more in test implants at mesial and distal crestal placement than those with the standard surface. The type of bone density D2 was found more in boxes in both surfaces’ middle of the implant body. The type of bone density D1 was as more than 1250 HU, was not found, but the titanium implant has this density reaching 1250 HU. D2 density, which is a bone with thick cortical and thick marrow bone from 850 to 1250 HU, has been found more in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implants with laser surface in the middle of body implant areas than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with the standard surface. D3 density, reached from 350 to 850 HU, has </w:t>
      </w:r>
      <w:r>
        <w:rPr>
          <w:rFonts w:ascii="Times New Roman" w:hAnsi="Times New Roman"/>
          <w:bCs/>
          <w:spacing w:val="-2"/>
          <w:sz w:val="24"/>
          <w:szCs w:val="24"/>
          <w:lang w:bidi="en-US"/>
        </w:rPr>
        <w:t>been found in both groups of implants. The most common quality of bone was D3 bone, from 150 to 350</w:t>
      </w:r>
      <w:r>
        <w:rPr>
          <w:rFonts w:ascii="Times New Roman" w:hAnsi="Times New Roman"/>
          <w:bCs/>
          <w:sz w:val="24"/>
          <w:szCs w:val="24"/>
          <w:lang w:bidi="en-US"/>
        </w:rPr>
        <w:t xml:space="preserve"> HU, found in all implant areas and the same quantity in both implant groups (Figure 10). Our results mean that the new bone formation around dental implants at three months in the dogs is deficient, increasing in time, but we need more time for surrounding implant bone stiffness. Bone remodeling around implants should be achieve after six months following our results.</w:t>
      </w:r>
    </w:p>
    <w:p w14:paraId="1D2992F3" w14:textId="77777777" w:rsidR="001612D5" w:rsidRDefault="00000000">
      <w:pPr>
        <w:autoSpaceDE w:val="0"/>
        <w:autoSpaceDN w:val="0"/>
        <w:adjustRightInd w:val="0"/>
        <w:spacing w:beforeLines="100" w:before="312" w:afterLines="100" w:after="312" w:line="300" w:lineRule="atLeast"/>
        <w:jc w:val="center"/>
        <w:rPr>
          <w:rFonts w:ascii="Times New Roman" w:hAnsi="Times New Roman"/>
          <w:bCs/>
          <w:sz w:val="24"/>
          <w:szCs w:val="24"/>
          <w:lang w:bidi="en-US"/>
        </w:rPr>
      </w:pPr>
      <w:r>
        <w:rPr>
          <w:rFonts w:ascii="Times New Roman" w:hAnsi="Times New Roman"/>
          <w:bCs/>
          <w:noProof/>
          <w:sz w:val="24"/>
          <w:szCs w:val="24"/>
          <w:lang w:bidi="en-US"/>
        </w:rPr>
        <w:drawing>
          <wp:inline distT="0" distB="0" distL="0" distR="0" wp14:anchorId="59002C75" wp14:editId="76B67C50">
            <wp:extent cx="5550535" cy="1541780"/>
            <wp:effectExtent l="0" t="0" r="0" b="1270"/>
            <wp:docPr id="12" name="Imagen 1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10;&#10;Descripción generada automáticament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4686" cy="1553952"/>
                    </a:xfrm>
                    <a:prstGeom prst="rect">
                      <a:avLst/>
                    </a:prstGeom>
                  </pic:spPr>
                </pic:pic>
              </a:graphicData>
            </a:graphic>
          </wp:inline>
        </w:drawing>
      </w:r>
    </w:p>
    <w:p w14:paraId="5EF73F21" w14:textId="77777777" w:rsidR="001612D5" w:rsidRDefault="00000000">
      <w:pPr>
        <w:pStyle w:val="MDPI21heading1"/>
        <w:spacing w:beforeLines="100" w:before="312" w:afterLines="100" w:after="312" w:line="300" w:lineRule="atLeast"/>
        <w:ind w:left="567" w:right="567"/>
        <w:jc w:val="both"/>
        <w:outlineLvl w:val="9"/>
        <w:rPr>
          <w:rFonts w:ascii="Times New Roman" w:hAnsi="Times New Roman"/>
          <w:bCs/>
          <w:sz w:val="24"/>
          <w:szCs w:val="24"/>
        </w:rPr>
      </w:pPr>
      <w:r>
        <w:rPr>
          <w:rFonts w:ascii="Times New Roman" w:hAnsi="Times New Roman"/>
          <w:sz w:val="24"/>
          <w:szCs w:val="24"/>
        </w:rPr>
        <w:t>Figure 10.</w:t>
      </w:r>
      <w:r>
        <w:rPr>
          <w:rFonts w:ascii="Times New Roman" w:hAnsi="Times New Roman"/>
          <w:b w:val="0"/>
          <w:bCs/>
          <w:sz w:val="24"/>
          <w:szCs w:val="24"/>
        </w:rPr>
        <w:t xml:space="preserve"> Evaluation of two different surfaces in the same implant design. D3 density was the most common type of bone found around both implant surfaces, with a significant increase in </w:t>
      </w:r>
      <w:proofErr w:type="spellStart"/>
      <w:r>
        <w:rPr>
          <w:rFonts w:ascii="Times New Roman" w:hAnsi="Times New Roman"/>
          <w:b w:val="0"/>
          <w:bCs/>
          <w:sz w:val="24"/>
          <w:szCs w:val="24"/>
        </w:rPr>
        <w:t>fixo</w:t>
      </w:r>
      <w:proofErr w:type="spellEnd"/>
      <w:r>
        <w:rPr>
          <w:rFonts w:ascii="Times New Roman" w:hAnsi="Times New Roman"/>
          <w:b w:val="0"/>
          <w:bCs/>
          <w:sz w:val="24"/>
          <w:szCs w:val="24"/>
        </w:rPr>
        <w:t xml:space="preserve"> laser implants</w:t>
      </w:r>
      <w:r>
        <w:rPr>
          <w:rFonts w:ascii="Times New Roman" w:hAnsi="Times New Roman"/>
          <w:bCs/>
          <w:sz w:val="24"/>
          <w:szCs w:val="24"/>
        </w:rPr>
        <w:t>.</w:t>
      </w:r>
    </w:p>
    <w:p w14:paraId="4E3DC06F" w14:textId="77777777" w:rsidR="001612D5" w:rsidRDefault="00000000">
      <w:pPr>
        <w:autoSpaceDE w:val="0"/>
        <w:autoSpaceDN w:val="0"/>
        <w:adjustRightInd w:val="0"/>
        <w:spacing w:beforeLines="100" w:before="312" w:line="300" w:lineRule="atLeast"/>
        <w:ind w:firstLineChars="200" w:firstLine="480"/>
        <w:rPr>
          <w:rFonts w:ascii="Times New Roman" w:hAnsi="Times New Roman"/>
          <w:sz w:val="24"/>
          <w:szCs w:val="24"/>
          <w:lang w:bidi="en-US"/>
        </w:rPr>
      </w:pPr>
      <w:r>
        <w:rPr>
          <w:rFonts w:ascii="Times New Roman" w:hAnsi="Times New Roman"/>
          <w:sz w:val="24"/>
          <w:szCs w:val="24"/>
          <w:lang w:bidi="en-US"/>
        </w:rPr>
        <w:t xml:space="preserve">The total sample consisted of 168 sites (ROIs). A similar bone density range was observed in the different ROIs, depending on their location or level (crestal, medial, and apical) and implant position </w:t>
      </w:r>
      <w:r>
        <w:rPr>
          <w:rFonts w:ascii="Times New Roman" w:hAnsi="Times New Roman"/>
          <w:sz w:val="24"/>
          <w:szCs w:val="24"/>
          <w:lang w:bidi="en-US"/>
        </w:rPr>
        <w:lastRenderedPageBreak/>
        <w:t xml:space="preserve">(P2, P3, P4, and M1). Regarding surface coating, the highest bone density (+ 950 Hounsfield units) was recorded in the medial of left M1, in laser surface, with mean values of 0.80 ± 0.23 and for the acid-etched area was 0.61 ± 0.11, respectively, and the lowest BD (bone density) was recorded in the apical area (-250 Hounsfield units) were obtained in apical area could be explained by the proximity </w:t>
      </w:r>
      <w:r>
        <w:rPr>
          <w:rFonts w:ascii="Times New Roman" w:hAnsi="Times New Roman"/>
          <w:spacing w:val="-2"/>
          <w:sz w:val="24"/>
          <w:szCs w:val="24"/>
          <w:lang w:bidi="en-US"/>
        </w:rPr>
        <w:t>of the dental nerve canal in this region. Regarding implant position, the highest BD (bone density) (+950</w:t>
      </w:r>
      <w:r>
        <w:rPr>
          <w:rFonts w:ascii="Times New Roman" w:hAnsi="Times New Roman"/>
          <w:sz w:val="24"/>
          <w:szCs w:val="24"/>
          <w:lang w:bidi="en-US"/>
        </w:rPr>
        <w:t xml:space="preserve"> Hounsfield units) was recorded in all implant M1 and the lowest (-150 Hounsfield units) in P2. Mean values and standard deviations showed in Table 3 and 4.</w:t>
      </w:r>
    </w:p>
    <w:p w14:paraId="1D2489A3" w14:textId="77777777" w:rsidR="001612D5" w:rsidRDefault="00000000" w:rsidP="00A03B2A">
      <w:pPr>
        <w:spacing w:beforeLines="100" w:before="312" w:afterLines="50" w:after="156" w:line="300" w:lineRule="atLeast"/>
        <w:ind w:left="567" w:right="567"/>
        <w:rPr>
          <w:rFonts w:ascii="Times New Roman" w:hAnsi="Times New Roman"/>
        </w:rPr>
      </w:pPr>
      <w:r>
        <w:rPr>
          <w:rFonts w:ascii="Times New Roman" w:hAnsi="Times New Roman"/>
          <w:b/>
          <w:bCs/>
          <w:sz w:val="24"/>
          <w:szCs w:val="24"/>
        </w:rPr>
        <w:t>Table 3.</w:t>
      </w:r>
      <w:r>
        <w:rPr>
          <w:rFonts w:ascii="Times New Roman" w:hAnsi="Times New Roman"/>
          <w:sz w:val="24"/>
          <w:szCs w:val="24"/>
        </w:rPr>
        <w:t xml:space="preserve"> The mean and standard deviation of all implant areas were taken. With procedure regress in SUDAAN to account for clustering (multiple sites within teeth). Procedure DESCRIPT in SUDAAN, where *p &lt; 0.05</w:t>
      </w:r>
      <w:r>
        <w:rPr>
          <w:rFonts w:ascii="Times New Roman" w:hAnsi="Times New Roman"/>
        </w:rPr>
        <w:t>.</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020"/>
        <w:gridCol w:w="2210"/>
        <w:gridCol w:w="2230"/>
        <w:gridCol w:w="1739"/>
      </w:tblGrid>
      <w:tr w:rsidR="001612D5" w14:paraId="7F538A3D" w14:textId="77777777">
        <w:trPr>
          <w:trHeight w:val="443"/>
        </w:trPr>
        <w:tc>
          <w:tcPr>
            <w:tcW w:w="1306" w:type="pct"/>
            <w:tcBorders>
              <w:top w:val="single" w:sz="4" w:space="0" w:color="auto"/>
              <w:bottom w:val="single" w:sz="4" w:space="0" w:color="auto"/>
            </w:tcBorders>
          </w:tcPr>
          <w:p w14:paraId="1DC0E565" w14:textId="77777777" w:rsidR="001612D5" w:rsidRDefault="00000000">
            <w:pPr>
              <w:jc w:val="left"/>
              <w:rPr>
                <w:rFonts w:ascii="Times New Roman" w:hAnsi="Times New Roman"/>
                <w:sz w:val="24"/>
                <w:szCs w:val="24"/>
              </w:rPr>
            </w:pPr>
            <w:r>
              <w:rPr>
                <w:rFonts w:ascii="Times New Roman" w:hAnsi="Times New Roman"/>
                <w:sz w:val="24"/>
                <w:szCs w:val="24"/>
              </w:rPr>
              <w:t>Variable</w:t>
            </w:r>
          </w:p>
        </w:tc>
        <w:tc>
          <w:tcPr>
            <w:tcW w:w="523" w:type="pct"/>
            <w:tcBorders>
              <w:top w:val="single" w:sz="4" w:space="0" w:color="auto"/>
              <w:bottom w:val="single" w:sz="4" w:space="0" w:color="auto"/>
            </w:tcBorders>
          </w:tcPr>
          <w:p w14:paraId="0C2D097E" w14:textId="77777777" w:rsidR="001612D5" w:rsidRDefault="00000000">
            <w:pPr>
              <w:jc w:val="left"/>
              <w:rPr>
                <w:rFonts w:ascii="Times New Roman" w:hAnsi="Times New Roman"/>
                <w:sz w:val="24"/>
                <w:szCs w:val="24"/>
              </w:rPr>
            </w:pPr>
            <w:r>
              <w:rPr>
                <w:rFonts w:ascii="Times New Roman" w:hAnsi="Times New Roman"/>
                <w:sz w:val="24"/>
                <w:szCs w:val="24"/>
              </w:rPr>
              <w:t>N</w:t>
            </w:r>
          </w:p>
        </w:tc>
        <w:tc>
          <w:tcPr>
            <w:tcW w:w="1134" w:type="pct"/>
            <w:tcBorders>
              <w:top w:val="single" w:sz="4" w:space="0" w:color="auto"/>
              <w:bottom w:val="single" w:sz="4" w:space="0" w:color="auto"/>
            </w:tcBorders>
          </w:tcPr>
          <w:p w14:paraId="36D1EA49" w14:textId="77777777" w:rsidR="001612D5" w:rsidRDefault="00000000">
            <w:pPr>
              <w:jc w:val="left"/>
              <w:rPr>
                <w:rFonts w:ascii="Times New Roman" w:hAnsi="Times New Roman"/>
                <w:sz w:val="24"/>
                <w:szCs w:val="24"/>
              </w:rPr>
            </w:pPr>
            <w:r>
              <w:rPr>
                <w:rFonts w:ascii="Times New Roman" w:hAnsi="Times New Roman"/>
                <w:sz w:val="24"/>
                <w:szCs w:val="24"/>
              </w:rPr>
              <w:t>Acid etched surface</w:t>
            </w:r>
          </w:p>
        </w:tc>
        <w:tc>
          <w:tcPr>
            <w:tcW w:w="1144" w:type="pct"/>
            <w:tcBorders>
              <w:top w:val="single" w:sz="4" w:space="0" w:color="auto"/>
              <w:bottom w:val="single" w:sz="4" w:space="0" w:color="auto"/>
            </w:tcBorders>
          </w:tcPr>
          <w:p w14:paraId="2E15BF3F" w14:textId="77777777" w:rsidR="001612D5" w:rsidRDefault="00000000">
            <w:pPr>
              <w:jc w:val="left"/>
              <w:rPr>
                <w:rFonts w:ascii="Times New Roman" w:hAnsi="Times New Roman"/>
                <w:sz w:val="24"/>
                <w:szCs w:val="24"/>
              </w:rPr>
            </w:pPr>
            <w:r>
              <w:rPr>
                <w:rFonts w:ascii="Times New Roman" w:hAnsi="Times New Roman"/>
                <w:sz w:val="24"/>
                <w:szCs w:val="24"/>
              </w:rPr>
              <w:t>Laser surface</w:t>
            </w:r>
          </w:p>
        </w:tc>
        <w:tc>
          <w:tcPr>
            <w:tcW w:w="892" w:type="pct"/>
            <w:tcBorders>
              <w:top w:val="single" w:sz="4" w:space="0" w:color="auto"/>
              <w:bottom w:val="single" w:sz="4" w:space="0" w:color="auto"/>
            </w:tcBorders>
          </w:tcPr>
          <w:p w14:paraId="1356ADBB" w14:textId="77777777" w:rsidR="001612D5" w:rsidRDefault="00000000">
            <w:pPr>
              <w:jc w:val="left"/>
              <w:rPr>
                <w:rFonts w:ascii="Times New Roman" w:hAnsi="Times New Roman"/>
                <w:sz w:val="24"/>
                <w:szCs w:val="24"/>
              </w:rPr>
            </w:pPr>
            <w:r>
              <w:rPr>
                <w:rFonts w:ascii="Times New Roman" w:hAnsi="Times New Roman"/>
                <w:sz w:val="24"/>
                <w:szCs w:val="24"/>
              </w:rPr>
              <w:t>P value global</w:t>
            </w:r>
          </w:p>
        </w:tc>
      </w:tr>
      <w:tr w:rsidR="001612D5" w14:paraId="5D49AB08" w14:textId="77777777">
        <w:trPr>
          <w:trHeight w:val="443"/>
        </w:trPr>
        <w:tc>
          <w:tcPr>
            <w:tcW w:w="1306" w:type="pct"/>
            <w:tcBorders>
              <w:top w:val="single" w:sz="4" w:space="0" w:color="auto"/>
            </w:tcBorders>
          </w:tcPr>
          <w:p w14:paraId="42EB45EA" w14:textId="77777777" w:rsidR="001612D5" w:rsidRDefault="00000000">
            <w:pPr>
              <w:jc w:val="left"/>
              <w:rPr>
                <w:rFonts w:ascii="Times New Roman" w:hAnsi="Times New Roman"/>
                <w:sz w:val="24"/>
                <w:szCs w:val="24"/>
              </w:rPr>
            </w:pPr>
            <w:r>
              <w:rPr>
                <w:rFonts w:ascii="Times New Roman" w:hAnsi="Times New Roman"/>
                <w:sz w:val="24"/>
                <w:szCs w:val="24"/>
              </w:rPr>
              <w:t>Implant area</w:t>
            </w:r>
          </w:p>
        </w:tc>
        <w:tc>
          <w:tcPr>
            <w:tcW w:w="523" w:type="pct"/>
            <w:tcBorders>
              <w:top w:val="single" w:sz="4" w:space="0" w:color="auto"/>
            </w:tcBorders>
          </w:tcPr>
          <w:p w14:paraId="56E5F04F" w14:textId="77777777" w:rsidR="001612D5" w:rsidRDefault="001612D5">
            <w:pPr>
              <w:jc w:val="left"/>
              <w:rPr>
                <w:rFonts w:ascii="Times New Roman" w:hAnsi="Times New Roman"/>
                <w:sz w:val="24"/>
                <w:szCs w:val="24"/>
              </w:rPr>
            </w:pPr>
          </w:p>
        </w:tc>
        <w:tc>
          <w:tcPr>
            <w:tcW w:w="1134" w:type="pct"/>
            <w:tcBorders>
              <w:top w:val="single" w:sz="4" w:space="0" w:color="auto"/>
            </w:tcBorders>
          </w:tcPr>
          <w:p w14:paraId="4E40D96B" w14:textId="77777777" w:rsidR="001612D5" w:rsidRDefault="00000000">
            <w:pPr>
              <w:jc w:val="left"/>
              <w:rPr>
                <w:rFonts w:ascii="Times New Roman" w:hAnsi="Times New Roman"/>
                <w:sz w:val="24"/>
                <w:szCs w:val="24"/>
              </w:rPr>
            </w:pPr>
            <w:r>
              <w:rPr>
                <w:rFonts w:ascii="Times New Roman" w:hAnsi="Times New Roman"/>
                <w:sz w:val="24"/>
                <w:szCs w:val="24"/>
              </w:rPr>
              <w:t>Mean</w:t>
            </w:r>
            <w:r>
              <w:rPr>
                <w:rFonts w:ascii="Times New Roman" w:hAnsi="Times New Roman"/>
                <w:color w:val="000000" w:themeColor="text1"/>
                <w:sz w:val="24"/>
                <w:szCs w:val="24"/>
              </w:rPr>
              <w:t xml:space="preserve"> ± SD </w:t>
            </w:r>
          </w:p>
        </w:tc>
        <w:tc>
          <w:tcPr>
            <w:tcW w:w="1144" w:type="pct"/>
            <w:tcBorders>
              <w:top w:val="single" w:sz="4" w:space="0" w:color="auto"/>
            </w:tcBorders>
          </w:tcPr>
          <w:p w14:paraId="28E1CC18" w14:textId="77777777" w:rsidR="001612D5" w:rsidRDefault="00000000">
            <w:pPr>
              <w:jc w:val="left"/>
              <w:rPr>
                <w:rFonts w:ascii="Times New Roman" w:hAnsi="Times New Roman"/>
                <w:sz w:val="24"/>
                <w:szCs w:val="24"/>
              </w:rPr>
            </w:pPr>
            <w:r>
              <w:rPr>
                <w:rFonts w:ascii="Times New Roman" w:hAnsi="Times New Roman"/>
                <w:sz w:val="24"/>
                <w:szCs w:val="24"/>
              </w:rPr>
              <w:t>Mean</w:t>
            </w:r>
            <w:r>
              <w:rPr>
                <w:rFonts w:ascii="Times New Roman" w:hAnsi="Times New Roman"/>
                <w:color w:val="000000" w:themeColor="text1"/>
                <w:sz w:val="24"/>
                <w:szCs w:val="24"/>
              </w:rPr>
              <w:t xml:space="preserve"> ± SD </w:t>
            </w:r>
          </w:p>
        </w:tc>
        <w:tc>
          <w:tcPr>
            <w:tcW w:w="892" w:type="pct"/>
            <w:tcBorders>
              <w:top w:val="single" w:sz="4" w:space="0" w:color="auto"/>
            </w:tcBorders>
          </w:tcPr>
          <w:p w14:paraId="795F6F9C" w14:textId="77777777" w:rsidR="001612D5" w:rsidRDefault="001612D5">
            <w:pPr>
              <w:jc w:val="left"/>
              <w:rPr>
                <w:rFonts w:ascii="Times New Roman" w:hAnsi="Times New Roman"/>
                <w:sz w:val="24"/>
                <w:szCs w:val="24"/>
              </w:rPr>
            </w:pPr>
          </w:p>
        </w:tc>
      </w:tr>
      <w:tr w:rsidR="001612D5" w14:paraId="2A6149CD" w14:textId="77777777">
        <w:trPr>
          <w:trHeight w:val="443"/>
        </w:trPr>
        <w:tc>
          <w:tcPr>
            <w:tcW w:w="1306" w:type="pct"/>
          </w:tcPr>
          <w:p w14:paraId="6E333961" w14:textId="77777777" w:rsidR="001612D5" w:rsidRDefault="00000000">
            <w:pPr>
              <w:jc w:val="left"/>
              <w:rPr>
                <w:rFonts w:ascii="Times New Roman" w:hAnsi="Times New Roman"/>
                <w:sz w:val="24"/>
                <w:szCs w:val="24"/>
              </w:rPr>
            </w:pPr>
            <w:r>
              <w:rPr>
                <w:rFonts w:ascii="Times New Roman" w:hAnsi="Times New Roman"/>
                <w:sz w:val="24"/>
                <w:szCs w:val="24"/>
              </w:rPr>
              <w:t>All ROIs</w:t>
            </w:r>
          </w:p>
        </w:tc>
        <w:tc>
          <w:tcPr>
            <w:tcW w:w="523" w:type="pct"/>
          </w:tcPr>
          <w:p w14:paraId="3E2D3886" w14:textId="77777777" w:rsidR="001612D5" w:rsidRDefault="00000000">
            <w:pPr>
              <w:jc w:val="left"/>
              <w:rPr>
                <w:rFonts w:ascii="Times New Roman" w:hAnsi="Times New Roman"/>
                <w:sz w:val="24"/>
                <w:szCs w:val="24"/>
              </w:rPr>
            </w:pPr>
            <w:r>
              <w:rPr>
                <w:rFonts w:ascii="Times New Roman" w:hAnsi="Times New Roman"/>
                <w:sz w:val="24"/>
                <w:szCs w:val="24"/>
              </w:rPr>
              <w:t>168</w:t>
            </w:r>
          </w:p>
        </w:tc>
        <w:tc>
          <w:tcPr>
            <w:tcW w:w="1134" w:type="pct"/>
          </w:tcPr>
          <w:p w14:paraId="67DE30F0"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0.39 ± 0.32</w:t>
            </w:r>
          </w:p>
        </w:tc>
        <w:tc>
          <w:tcPr>
            <w:tcW w:w="1144" w:type="pct"/>
          </w:tcPr>
          <w:p w14:paraId="5208533C"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0.57 ± 0.45*</w:t>
            </w:r>
          </w:p>
        </w:tc>
        <w:tc>
          <w:tcPr>
            <w:tcW w:w="892" w:type="pct"/>
          </w:tcPr>
          <w:p w14:paraId="246DFBCA" w14:textId="77777777" w:rsidR="001612D5" w:rsidRDefault="00000000">
            <w:pPr>
              <w:jc w:val="left"/>
              <w:rPr>
                <w:rFonts w:ascii="Times New Roman" w:hAnsi="Times New Roman"/>
                <w:sz w:val="24"/>
                <w:szCs w:val="24"/>
              </w:rPr>
            </w:pPr>
            <w:r>
              <w:rPr>
                <w:rFonts w:ascii="Times New Roman" w:hAnsi="Times New Roman"/>
                <w:sz w:val="24"/>
                <w:szCs w:val="24"/>
              </w:rPr>
              <w:t>0.002</w:t>
            </w:r>
          </w:p>
        </w:tc>
      </w:tr>
      <w:tr w:rsidR="001612D5" w14:paraId="1AC1CB67" w14:textId="77777777">
        <w:trPr>
          <w:trHeight w:val="443"/>
        </w:trPr>
        <w:tc>
          <w:tcPr>
            <w:tcW w:w="1306" w:type="pct"/>
          </w:tcPr>
          <w:p w14:paraId="71591A02" w14:textId="77777777" w:rsidR="001612D5" w:rsidRDefault="00000000">
            <w:pPr>
              <w:jc w:val="left"/>
              <w:rPr>
                <w:rFonts w:ascii="Times New Roman" w:hAnsi="Times New Roman"/>
                <w:sz w:val="24"/>
                <w:szCs w:val="24"/>
              </w:rPr>
            </w:pPr>
            <w:r>
              <w:rPr>
                <w:rFonts w:ascii="Times New Roman" w:hAnsi="Times New Roman"/>
                <w:sz w:val="24"/>
                <w:szCs w:val="24"/>
              </w:rPr>
              <w:t>Crestal (C)</w:t>
            </w:r>
          </w:p>
        </w:tc>
        <w:tc>
          <w:tcPr>
            <w:tcW w:w="523" w:type="pct"/>
          </w:tcPr>
          <w:p w14:paraId="0247A515" w14:textId="77777777" w:rsidR="001612D5" w:rsidRDefault="00000000">
            <w:pPr>
              <w:jc w:val="left"/>
              <w:rPr>
                <w:rFonts w:ascii="Times New Roman" w:hAnsi="Times New Roman"/>
                <w:sz w:val="24"/>
                <w:szCs w:val="24"/>
              </w:rPr>
            </w:pPr>
            <w:r>
              <w:rPr>
                <w:rFonts w:ascii="Times New Roman" w:hAnsi="Times New Roman"/>
                <w:sz w:val="24"/>
                <w:szCs w:val="24"/>
              </w:rPr>
              <w:t>56</w:t>
            </w:r>
          </w:p>
        </w:tc>
        <w:tc>
          <w:tcPr>
            <w:tcW w:w="1134" w:type="pct"/>
          </w:tcPr>
          <w:p w14:paraId="1194CEE7"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0.61 ± 0.11</w:t>
            </w:r>
          </w:p>
        </w:tc>
        <w:tc>
          <w:tcPr>
            <w:tcW w:w="1144" w:type="pct"/>
          </w:tcPr>
          <w:p w14:paraId="14D23735"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0.80 ± 0.23</w:t>
            </w:r>
          </w:p>
        </w:tc>
        <w:tc>
          <w:tcPr>
            <w:tcW w:w="892" w:type="pct"/>
          </w:tcPr>
          <w:p w14:paraId="5F9CBB14" w14:textId="77777777" w:rsidR="001612D5" w:rsidRDefault="00000000">
            <w:pPr>
              <w:jc w:val="left"/>
              <w:rPr>
                <w:rFonts w:ascii="Times New Roman" w:hAnsi="Times New Roman"/>
                <w:sz w:val="24"/>
                <w:szCs w:val="24"/>
              </w:rPr>
            </w:pPr>
            <w:r>
              <w:rPr>
                <w:rFonts w:ascii="Times New Roman" w:hAnsi="Times New Roman"/>
                <w:sz w:val="24"/>
                <w:szCs w:val="24"/>
              </w:rPr>
              <w:t>0.762</w:t>
            </w:r>
          </w:p>
        </w:tc>
      </w:tr>
      <w:tr w:rsidR="001612D5" w14:paraId="5CED89AD" w14:textId="77777777">
        <w:trPr>
          <w:trHeight w:val="443"/>
        </w:trPr>
        <w:tc>
          <w:tcPr>
            <w:tcW w:w="1306" w:type="pct"/>
          </w:tcPr>
          <w:p w14:paraId="17A4FFCB" w14:textId="77777777" w:rsidR="001612D5" w:rsidRDefault="00000000">
            <w:pPr>
              <w:jc w:val="left"/>
              <w:rPr>
                <w:rFonts w:ascii="Times New Roman" w:hAnsi="Times New Roman"/>
                <w:sz w:val="24"/>
                <w:szCs w:val="24"/>
              </w:rPr>
            </w:pPr>
            <w:r>
              <w:rPr>
                <w:rFonts w:ascii="Times New Roman" w:hAnsi="Times New Roman"/>
                <w:sz w:val="24"/>
                <w:szCs w:val="24"/>
              </w:rPr>
              <w:t>Middle (M)</w:t>
            </w:r>
          </w:p>
        </w:tc>
        <w:tc>
          <w:tcPr>
            <w:tcW w:w="523" w:type="pct"/>
          </w:tcPr>
          <w:p w14:paraId="2FF5CC43" w14:textId="77777777" w:rsidR="001612D5" w:rsidRDefault="00000000">
            <w:pPr>
              <w:jc w:val="left"/>
              <w:rPr>
                <w:rFonts w:ascii="Times New Roman" w:hAnsi="Times New Roman"/>
                <w:sz w:val="24"/>
                <w:szCs w:val="24"/>
              </w:rPr>
            </w:pPr>
            <w:r>
              <w:rPr>
                <w:rFonts w:ascii="Times New Roman" w:hAnsi="Times New Roman"/>
                <w:sz w:val="24"/>
                <w:szCs w:val="24"/>
              </w:rPr>
              <w:t>56</w:t>
            </w:r>
          </w:p>
        </w:tc>
        <w:tc>
          <w:tcPr>
            <w:tcW w:w="1134" w:type="pct"/>
          </w:tcPr>
          <w:p w14:paraId="03AA050E"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0.46 ± 0.34</w:t>
            </w:r>
          </w:p>
        </w:tc>
        <w:tc>
          <w:tcPr>
            <w:tcW w:w="1144" w:type="pct"/>
          </w:tcPr>
          <w:p w14:paraId="2C908DFA"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0.49 ± 1.22</w:t>
            </w:r>
          </w:p>
        </w:tc>
        <w:tc>
          <w:tcPr>
            <w:tcW w:w="892" w:type="pct"/>
          </w:tcPr>
          <w:p w14:paraId="40A389E2" w14:textId="77777777" w:rsidR="001612D5" w:rsidRDefault="00000000">
            <w:pPr>
              <w:jc w:val="left"/>
              <w:rPr>
                <w:rFonts w:ascii="Times New Roman" w:hAnsi="Times New Roman"/>
                <w:sz w:val="24"/>
                <w:szCs w:val="24"/>
              </w:rPr>
            </w:pPr>
            <w:r>
              <w:rPr>
                <w:rFonts w:ascii="Times New Roman" w:hAnsi="Times New Roman"/>
                <w:sz w:val="24"/>
                <w:szCs w:val="24"/>
              </w:rPr>
              <w:t>0.689</w:t>
            </w:r>
          </w:p>
        </w:tc>
      </w:tr>
      <w:tr w:rsidR="001612D5" w14:paraId="6584A609" w14:textId="77777777">
        <w:trPr>
          <w:trHeight w:val="443"/>
        </w:trPr>
        <w:tc>
          <w:tcPr>
            <w:tcW w:w="1306" w:type="pct"/>
          </w:tcPr>
          <w:p w14:paraId="1FC7A53D" w14:textId="77777777" w:rsidR="001612D5" w:rsidRDefault="00000000">
            <w:pPr>
              <w:jc w:val="left"/>
              <w:rPr>
                <w:rFonts w:ascii="Times New Roman" w:hAnsi="Times New Roman"/>
                <w:sz w:val="24"/>
                <w:szCs w:val="24"/>
              </w:rPr>
            </w:pPr>
            <w:r>
              <w:rPr>
                <w:rFonts w:ascii="Times New Roman" w:hAnsi="Times New Roman"/>
                <w:sz w:val="24"/>
                <w:szCs w:val="24"/>
              </w:rPr>
              <w:t>Apical (A)</w:t>
            </w:r>
          </w:p>
        </w:tc>
        <w:tc>
          <w:tcPr>
            <w:tcW w:w="523" w:type="pct"/>
          </w:tcPr>
          <w:p w14:paraId="491AE482" w14:textId="77777777" w:rsidR="001612D5" w:rsidRDefault="00000000">
            <w:pPr>
              <w:jc w:val="left"/>
              <w:rPr>
                <w:rFonts w:ascii="Times New Roman" w:hAnsi="Times New Roman"/>
                <w:sz w:val="24"/>
                <w:szCs w:val="24"/>
              </w:rPr>
            </w:pPr>
            <w:r>
              <w:rPr>
                <w:rFonts w:ascii="Times New Roman" w:hAnsi="Times New Roman"/>
                <w:sz w:val="24"/>
                <w:szCs w:val="24"/>
              </w:rPr>
              <w:t>56</w:t>
            </w:r>
          </w:p>
        </w:tc>
        <w:tc>
          <w:tcPr>
            <w:tcW w:w="1134" w:type="pct"/>
          </w:tcPr>
          <w:p w14:paraId="27BD36C7"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-0.28 ± 0.14</w:t>
            </w:r>
          </w:p>
        </w:tc>
        <w:tc>
          <w:tcPr>
            <w:tcW w:w="1144" w:type="pct"/>
          </w:tcPr>
          <w:p w14:paraId="20EB4B2F"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-0.15 ± 0.55</w:t>
            </w:r>
          </w:p>
        </w:tc>
        <w:tc>
          <w:tcPr>
            <w:tcW w:w="892" w:type="pct"/>
          </w:tcPr>
          <w:p w14:paraId="7DB00A36" w14:textId="77777777" w:rsidR="001612D5" w:rsidRDefault="00000000">
            <w:pPr>
              <w:jc w:val="left"/>
              <w:rPr>
                <w:rFonts w:ascii="Times New Roman" w:hAnsi="Times New Roman"/>
                <w:sz w:val="24"/>
                <w:szCs w:val="24"/>
              </w:rPr>
            </w:pPr>
            <w:r>
              <w:rPr>
                <w:rFonts w:ascii="Times New Roman" w:hAnsi="Times New Roman"/>
                <w:sz w:val="24"/>
                <w:szCs w:val="24"/>
              </w:rPr>
              <w:t>0.543</w:t>
            </w:r>
          </w:p>
        </w:tc>
      </w:tr>
      <w:tr w:rsidR="001612D5" w14:paraId="29DDE7E3" w14:textId="77777777">
        <w:trPr>
          <w:trHeight w:val="443"/>
        </w:trPr>
        <w:tc>
          <w:tcPr>
            <w:tcW w:w="1306" w:type="pct"/>
          </w:tcPr>
          <w:p w14:paraId="2CE2A12E" w14:textId="77777777" w:rsidR="001612D5" w:rsidRDefault="00000000">
            <w:pPr>
              <w:jc w:val="left"/>
              <w:rPr>
                <w:rFonts w:ascii="Times New Roman" w:hAnsi="Times New Roman"/>
                <w:sz w:val="24"/>
                <w:szCs w:val="24"/>
              </w:rPr>
            </w:pPr>
            <w:r>
              <w:rPr>
                <w:rFonts w:ascii="Times New Roman" w:hAnsi="Times New Roman"/>
                <w:i/>
                <w:iCs/>
                <w:sz w:val="24"/>
                <w:szCs w:val="24"/>
              </w:rPr>
              <w:t xml:space="preserve">P </w:t>
            </w:r>
            <w:r>
              <w:rPr>
                <w:rFonts w:ascii="Times New Roman" w:hAnsi="Times New Roman"/>
                <w:sz w:val="24"/>
                <w:szCs w:val="24"/>
              </w:rPr>
              <w:t>value</w:t>
            </w:r>
          </w:p>
        </w:tc>
        <w:tc>
          <w:tcPr>
            <w:tcW w:w="523" w:type="pct"/>
          </w:tcPr>
          <w:p w14:paraId="0D4E297F" w14:textId="77777777" w:rsidR="001612D5" w:rsidRDefault="001612D5">
            <w:pPr>
              <w:jc w:val="left"/>
              <w:rPr>
                <w:rFonts w:ascii="Times New Roman" w:hAnsi="Times New Roman"/>
                <w:sz w:val="24"/>
                <w:szCs w:val="24"/>
              </w:rPr>
            </w:pPr>
          </w:p>
        </w:tc>
        <w:tc>
          <w:tcPr>
            <w:tcW w:w="1134" w:type="pct"/>
          </w:tcPr>
          <w:p w14:paraId="0A9AA111" w14:textId="77777777" w:rsidR="001612D5" w:rsidRDefault="00000000">
            <w:pPr>
              <w:jc w:val="left"/>
              <w:rPr>
                <w:rFonts w:ascii="Times New Roman" w:hAnsi="Times New Roman"/>
                <w:sz w:val="24"/>
                <w:szCs w:val="24"/>
              </w:rPr>
            </w:pPr>
            <w:r>
              <w:rPr>
                <w:rFonts w:ascii="Times New Roman" w:hAnsi="Times New Roman"/>
                <w:sz w:val="24"/>
                <w:szCs w:val="24"/>
              </w:rPr>
              <w:t>&lt; 0.003</w:t>
            </w:r>
          </w:p>
        </w:tc>
        <w:tc>
          <w:tcPr>
            <w:tcW w:w="1144" w:type="pct"/>
          </w:tcPr>
          <w:p w14:paraId="6921B7EE" w14:textId="77777777" w:rsidR="001612D5" w:rsidRDefault="00000000">
            <w:pPr>
              <w:jc w:val="left"/>
              <w:rPr>
                <w:rFonts w:ascii="Times New Roman" w:hAnsi="Times New Roman"/>
                <w:sz w:val="24"/>
                <w:szCs w:val="24"/>
              </w:rPr>
            </w:pPr>
            <w:r>
              <w:rPr>
                <w:rFonts w:ascii="Times New Roman" w:hAnsi="Times New Roman"/>
                <w:sz w:val="24"/>
                <w:szCs w:val="24"/>
              </w:rPr>
              <w:t>&lt; 0.003</w:t>
            </w:r>
          </w:p>
        </w:tc>
        <w:tc>
          <w:tcPr>
            <w:tcW w:w="892" w:type="pct"/>
          </w:tcPr>
          <w:p w14:paraId="4D9A0C7D" w14:textId="77777777" w:rsidR="001612D5" w:rsidRDefault="00000000">
            <w:pPr>
              <w:jc w:val="left"/>
              <w:rPr>
                <w:rFonts w:ascii="Times New Roman" w:hAnsi="Times New Roman"/>
                <w:sz w:val="24"/>
                <w:szCs w:val="24"/>
              </w:rPr>
            </w:pPr>
            <w:r>
              <w:rPr>
                <w:rFonts w:ascii="Times New Roman" w:hAnsi="Times New Roman"/>
                <w:sz w:val="24"/>
                <w:szCs w:val="24"/>
              </w:rPr>
              <w:t>-</w:t>
            </w:r>
          </w:p>
        </w:tc>
      </w:tr>
      <w:tr w:rsidR="001612D5" w14:paraId="41E82E14" w14:textId="77777777">
        <w:trPr>
          <w:trHeight w:val="443"/>
        </w:trPr>
        <w:tc>
          <w:tcPr>
            <w:tcW w:w="1306" w:type="pct"/>
          </w:tcPr>
          <w:p w14:paraId="4115A616" w14:textId="77777777" w:rsidR="001612D5" w:rsidRDefault="00000000">
            <w:pPr>
              <w:jc w:val="left"/>
              <w:rPr>
                <w:rFonts w:ascii="Times New Roman" w:hAnsi="Times New Roman"/>
                <w:sz w:val="24"/>
                <w:szCs w:val="24"/>
              </w:rPr>
            </w:pPr>
            <w:r>
              <w:rPr>
                <w:rFonts w:ascii="Times New Roman" w:hAnsi="Times New Roman"/>
                <w:sz w:val="24"/>
                <w:szCs w:val="24"/>
              </w:rPr>
              <w:t>Surface comparisons</w:t>
            </w:r>
          </w:p>
        </w:tc>
        <w:tc>
          <w:tcPr>
            <w:tcW w:w="523" w:type="pct"/>
          </w:tcPr>
          <w:p w14:paraId="769183CA" w14:textId="77777777" w:rsidR="001612D5" w:rsidRDefault="001612D5">
            <w:pPr>
              <w:jc w:val="left"/>
              <w:rPr>
                <w:rFonts w:ascii="Times New Roman" w:hAnsi="Times New Roman"/>
                <w:sz w:val="24"/>
                <w:szCs w:val="24"/>
              </w:rPr>
            </w:pPr>
          </w:p>
        </w:tc>
        <w:tc>
          <w:tcPr>
            <w:tcW w:w="1134" w:type="pct"/>
          </w:tcPr>
          <w:p w14:paraId="4779C881" w14:textId="77777777" w:rsidR="001612D5" w:rsidRDefault="00000000">
            <w:pPr>
              <w:jc w:val="left"/>
              <w:rPr>
                <w:rFonts w:ascii="Times New Roman" w:hAnsi="Times New Roman"/>
                <w:sz w:val="24"/>
                <w:szCs w:val="24"/>
              </w:rPr>
            </w:pPr>
            <w:r>
              <w:rPr>
                <w:rFonts w:ascii="Times New Roman" w:hAnsi="Times New Roman"/>
                <w:sz w:val="24"/>
                <w:szCs w:val="24"/>
              </w:rPr>
              <w:t>C vs M vs A</w:t>
            </w:r>
          </w:p>
        </w:tc>
        <w:tc>
          <w:tcPr>
            <w:tcW w:w="1144" w:type="pct"/>
          </w:tcPr>
          <w:p w14:paraId="260DDAE6" w14:textId="77777777" w:rsidR="001612D5" w:rsidRDefault="00000000">
            <w:pPr>
              <w:jc w:val="left"/>
              <w:rPr>
                <w:rFonts w:ascii="Times New Roman" w:hAnsi="Times New Roman"/>
                <w:sz w:val="24"/>
                <w:szCs w:val="24"/>
              </w:rPr>
            </w:pPr>
            <w:r>
              <w:rPr>
                <w:rFonts w:ascii="Times New Roman" w:hAnsi="Times New Roman"/>
                <w:sz w:val="24"/>
                <w:szCs w:val="24"/>
              </w:rPr>
              <w:t>C vs M vs A</w:t>
            </w:r>
          </w:p>
        </w:tc>
        <w:tc>
          <w:tcPr>
            <w:tcW w:w="892" w:type="pct"/>
          </w:tcPr>
          <w:p w14:paraId="7C9381D1" w14:textId="77777777" w:rsidR="001612D5" w:rsidRDefault="001612D5">
            <w:pPr>
              <w:jc w:val="left"/>
              <w:rPr>
                <w:rFonts w:ascii="Times New Roman" w:hAnsi="Times New Roman"/>
                <w:sz w:val="24"/>
                <w:szCs w:val="24"/>
              </w:rPr>
            </w:pPr>
          </w:p>
        </w:tc>
      </w:tr>
    </w:tbl>
    <w:p w14:paraId="033C988D" w14:textId="77777777" w:rsidR="001612D5" w:rsidRDefault="00000000">
      <w:pPr>
        <w:spacing w:beforeLines="100" w:before="312" w:afterLines="50" w:after="156" w:line="300" w:lineRule="atLeast"/>
        <w:ind w:left="567" w:right="567"/>
        <w:rPr>
          <w:rFonts w:ascii="Times New Roman" w:hAnsi="Times New Roman"/>
          <w:sz w:val="20"/>
          <w:szCs w:val="20"/>
        </w:rPr>
      </w:pPr>
      <w:r>
        <w:rPr>
          <w:rFonts w:ascii="Times New Roman" w:hAnsi="Times New Roman"/>
          <w:b/>
          <w:bCs/>
          <w:sz w:val="24"/>
          <w:szCs w:val="24"/>
        </w:rPr>
        <w:t>Table 4.</w:t>
      </w:r>
      <w:r>
        <w:rPr>
          <w:rFonts w:ascii="Times New Roman" w:hAnsi="Times New Roman"/>
          <w:sz w:val="24"/>
          <w:szCs w:val="24"/>
        </w:rPr>
        <w:t xml:space="preserve"> The mean and standard deviation of all implant positions were taken. With procedure REGRESS in SUDAAN to account for clustering (multiple sites within teeth). Procedure DESCRIPT in SUDAAN, where *means p &lt; 0.05</w:t>
      </w:r>
      <w:r>
        <w:rPr>
          <w:rFonts w:ascii="Times New Roman" w:hAnsi="Times New Roman"/>
          <w:sz w:val="20"/>
          <w:szCs w:val="20"/>
        </w:rPr>
        <w:t>.</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973"/>
        <w:gridCol w:w="2487"/>
        <w:gridCol w:w="2345"/>
        <w:gridCol w:w="1936"/>
      </w:tblGrid>
      <w:tr w:rsidR="001612D5" w14:paraId="16C4B399" w14:textId="77777777">
        <w:trPr>
          <w:trHeight w:val="414"/>
        </w:trPr>
        <w:tc>
          <w:tcPr>
            <w:tcW w:w="1029" w:type="pct"/>
          </w:tcPr>
          <w:p w14:paraId="46B5002F" w14:textId="77777777" w:rsidR="001612D5" w:rsidRDefault="00000000">
            <w:pPr>
              <w:jc w:val="left"/>
              <w:rPr>
                <w:rFonts w:ascii="Times New Roman" w:hAnsi="Times New Roman"/>
                <w:sz w:val="24"/>
                <w:szCs w:val="24"/>
              </w:rPr>
            </w:pPr>
            <w:r>
              <w:rPr>
                <w:rFonts w:ascii="Times New Roman" w:hAnsi="Times New Roman"/>
                <w:sz w:val="24"/>
                <w:szCs w:val="24"/>
              </w:rPr>
              <w:t>Variable</w:t>
            </w:r>
          </w:p>
        </w:tc>
        <w:tc>
          <w:tcPr>
            <w:tcW w:w="499" w:type="pct"/>
          </w:tcPr>
          <w:p w14:paraId="28D4F64D" w14:textId="77777777" w:rsidR="001612D5" w:rsidRDefault="00000000">
            <w:pPr>
              <w:jc w:val="left"/>
              <w:rPr>
                <w:rFonts w:ascii="Times New Roman" w:hAnsi="Times New Roman"/>
                <w:sz w:val="24"/>
                <w:szCs w:val="24"/>
              </w:rPr>
            </w:pPr>
            <w:r>
              <w:rPr>
                <w:rFonts w:ascii="Times New Roman" w:hAnsi="Times New Roman"/>
                <w:sz w:val="24"/>
                <w:szCs w:val="24"/>
              </w:rPr>
              <w:t>N</w:t>
            </w:r>
          </w:p>
        </w:tc>
        <w:tc>
          <w:tcPr>
            <w:tcW w:w="1276" w:type="pct"/>
          </w:tcPr>
          <w:p w14:paraId="0CF9AFAF" w14:textId="77777777" w:rsidR="001612D5" w:rsidRDefault="00000000">
            <w:pPr>
              <w:jc w:val="left"/>
              <w:rPr>
                <w:rFonts w:ascii="Times New Roman" w:hAnsi="Times New Roman"/>
                <w:sz w:val="24"/>
                <w:szCs w:val="24"/>
              </w:rPr>
            </w:pPr>
            <w:r>
              <w:rPr>
                <w:rFonts w:ascii="Times New Roman" w:hAnsi="Times New Roman"/>
                <w:sz w:val="24"/>
                <w:szCs w:val="24"/>
              </w:rPr>
              <w:t>Acid etched surface</w:t>
            </w:r>
          </w:p>
        </w:tc>
        <w:tc>
          <w:tcPr>
            <w:tcW w:w="1203" w:type="pct"/>
          </w:tcPr>
          <w:p w14:paraId="61D57988" w14:textId="77777777" w:rsidR="001612D5" w:rsidRDefault="00000000">
            <w:pPr>
              <w:jc w:val="left"/>
              <w:rPr>
                <w:rFonts w:ascii="Times New Roman" w:hAnsi="Times New Roman"/>
                <w:sz w:val="24"/>
                <w:szCs w:val="24"/>
              </w:rPr>
            </w:pPr>
            <w:r>
              <w:rPr>
                <w:rFonts w:ascii="Times New Roman" w:hAnsi="Times New Roman"/>
                <w:sz w:val="24"/>
                <w:szCs w:val="24"/>
              </w:rPr>
              <w:t>Laser surface</w:t>
            </w:r>
          </w:p>
        </w:tc>
        <w:tc>
          <w:tcPr>
            <w:tcW w:w="993" w:type="pct"/>
          </w:tcPr>
          <w:p w14:paraId="55A42FA5" w14:textId="77777777" w:rsidR="001612D5" w:rsidRDefault="00000000">
            <w:pPr>
              <w:jc w:val="left"/>
              <w:rPr>
                <w:rFonts w:ascii="Times New Roman" w:hAnsi="Times New Roman"/>
                <w:sz w:val="24"/>
                <w:szCs w:val="24"/>
              </w:rPr>
            </w:pPr>
            <w:r>
              <w:rPr>
                <w:rFonts w:ascii="Times New Roman" w:hAnsi="Times New Roman"/>
                <w:sz w:val="24"/>
                <w:szCs w:val="24"/>
              </w:rPr>
              <w:t>P value global</w:t>
            </w:r>
          </w:p>
        </w:tc>
      </w:tr>
      <w:tr w:rsidR="001612D5" w14:paraId="6953EBEE" w14:textId="77777777">
        <w:trPr>
          <w:trHeight w:val="414"/>
        </w:trPr>
        <w:tc>
          <w:tcPr>
            <w:tcW w:w="1029" w:type="pct"/>
          </w:tcPr>
          <w:p w14:paraId="132AA237" w14:textId="77777777" w:rsidR="001612D5" w:rsidRDefault="00000000">
            <w:pPr>
              <w:jc w:val="left"/>
              <w:rPr>
                <w:rFonts w:ascii="Times New Roman" w:hAnsi="Times New Roman"/>
                <w:sz w:val="24"/>
                <w:szCs w:val="24"/>
              </w:rPr>
            </w:pPr>
            <w:r>
              <w:rPr>
                <w:rFonts w:ascii="Times New Roman" w:hAnsi="Times New Roman"/>
                <w:sz w:val="24"/>
                <w:szCs w:val="24"/>
              </w:rPr>
              <w:t>Implant position</w:t>
            </w:r>
          </w:p>
        </w:tc>
        <w:tc>
          <w:tcPr>
            <w:tcW w:w="499" w:type="pct"/>
          </w:tcPr>
          <w:p w14:paraId="659DE335" w14:textId="77777777" w:rsidR="001612D5" w:rsidRDefault="001612D5">
            <w:pPr>
              <w:jc w:val="left"/>
              <w:rPr>
                <w:rFonts w:ascii="Times New Roman" w:hAnsi="Times New Roman"/>
                <w:sz w:val="24"/>
                <w:szCs w:val="24"/>
              </w:rPr>
            </w:pPr>
          </w:p>
        </w:tc>
        <w:tc>
          <w:tcPr>
            <w:tcW w:w="1276" w:type="pct"/>
          </w:tcPr>
          <w:p w14:paraId="7522502D" w14:textId="77777777" w:rsidR="001612D5" w:rsidRDefault="00000000">
            <w:pPr>
              <w:jc w:val="left"/>
              <w:rPr>
                <w:rFonts w:ascii="Times New Roman" w:hAnsi="Times New Roman"/>
                <w:sz w:val="24"/>
                <w:szCs w:val="24"/>
              </w:rPr>
            </w:pPr>
            <w:r>
              <w:rPr>
                <w:rFonts w:ascii="Times New Roman" w:hAnsi="Times New Roman"/>
                <w:sz w:val="24"/>
                <w:szCs w:val="24"/>
              </w:rPr>
              <w:t>Mean</w:t>
            </w:r>
            <w:r>
              <w:rPr>
                <w:rFonts w:ascii="Times New Roman" w:hAnsi="Times New Roman"/>
                <w:color w:val="000000" w:themeColor="text1"/>
                <w:sz w:val="24"/>
                <w:szCs w:val="24"/>
              </w:rPr>
              <w:t xml:space="preserve"> ± SD </w:t>
            </w:r>
          </w:p>
        </w:tc>
        <w:tc>
          <w:tcPr>
            <w:tcW w:w="1203" w:type="pct"/>
          </w:tcPr>
          <w:p w14:paraId="406ACC14" w14:textId="77777777" w:rsidR="001612D5" w:rsidRDefault="00000000">
            <w:pPr>
              <w:jc w:val="left"/>
              <w:rPr>
                <w:rFonts w:ascii="Times New Roman" w:hAnsi="Times New Roman"/>
                <w:sz w:val="24"/>
                <w:szCs w:val="24"/>
              </w:rPr>
            </w:pPr>
            <w:r>
              <w:rPr>
                <w:rFonts w:ascii="Times New Roman" w:hAnsi="Times New Roman"/>
                <w:sz w:val="24"/>
                <w:szCs w:val="24"/>
              </w:rPr>
              <w:t>Mean</w:t>
            </w:r>
            <w:r>
              <w:rPr>
                <w:rFonts w:ascii="Times New Roman" w:hAnsi="Times New Roman"/>
                <w:color w:val="000000" w:themeColor="text1"/>
                <w:sz w:val="24"/>
                <w:szCs w:val="24"/>
              </w:rPr>
              <w:t xml:space="preserve"> ± SD </w:t>
            </w:r>
          </w:p>
        </w:tc>
        <w:tc>
          <w:tcPr>
            <w:tcW w:w="993" w:type="pct"/>
          </w:tcPr>
          <w:p w14:paraId="5C23ED50" w14:textId="77777777" w:rsidR="001612D5" w:rsidRDefault="001612D5">
            <w:pPr>
              <w:jc w:val="left"/>
              <w:rPr>
                <w:rFonts w:ascii="Times New Roman" w:hAnsi="Times New Roman"/>
                <w:sz w:val="24"/>
                <w:szCs w:val="24"/>
              </w:rPr>
            </w:pPr>
          </w:p>
        </w:tc>
      </w:tr>
      <w:tr w:rsidR="001612D5" w14:paraId="63A85D9E" w14:textId="77777777">
        <w:trPr>
          <w:trHeight w:val="414"/>
        </w:trPr>
        <w:tc>
          <w:tcPr>
            <w:tcW w:w="1029" w:type="pct"/>
          </w:tcPr>
          <w:p w14:paraId="538EE971" w14:textId="77777777" w:rsidR="001612D5" w:rsidRDefault="00000000">
            <w:pPr>
              <w:jc w:val="left"/>
              <w:rPr>
                <w:rFonts w:ascii="Times New Roman" w:hAnsi="Times New Roman"/>
                <w:sz w:val="24"/>
                <w:szCs w:val="24"/>
              </w:rPr>
            </w:pPr>
            <w:r>
              <w:rPr>
                <w:rFonts w:ascii="Times New Roman" w:hAnsi="Times New Roman"/>
                <w:sz w:val="24"/>
                <w:szCs w:val="24"/>
              </w:rPr>
              <w:t>All ROIs</w:t>
            </w:r>
          </w:p>
        </w:tc>
        <w:tc>
          <w:tcPr>
            <w:tcW w:w="499" w:type="pct"/>
          </w:tcPr>
          <w:p w14:paraId="2C9E880B" w14:textId="77777777" w:rsidR="001612D5" w:rsidRDefault="00000000">
            <w:pPr>
              <w:jc w:val="left"/>
              <w:rPr>
                <w:rFonts w:ascii="Times New Roman" w:hAnsi="Times New Roman"/>
                <w:sz w:val="24"/>
                <w:szCs w:val="24"/>
              </w:rPr>
            </w:pPr>
            <w:r>
              <w:rPr>
                <w:rFonts w:ascii="Times New Roman" w:hAnsi="Times New Roman"/>
                <w:sz w:val="24"/>
                <w:szCs w:val="24"/>
              </w:rPr>
              <w:t>168</w:t>
            </w:r>
          </w:p>
        </w:tc>
        <w:tc>
          <w:tcPr>
            <w:tcW w:w="1276" w:type="pct"/>
          </w:tcPr>
          <w:p w14:paraId="58D5C85D"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0.39 ± 0.32</w:t>
            </w:r>
          </w:p>
        </w:tc>
        <w:tc>
          <w:tcPr>
            <w:tcW w:w="1203" w:type="pct"/>
          </w:tcPr>
          <w:p w14:paraId="1C7484BC" w14:textId="795EF8B7" w:rsidR="001612D5" w:rsidRDefault="00000000">
            <w:pPr>
              <w:jc w:val="left"/>
              <w:rPr>
                <w:rFonts w:ascii="Times New Roman" w:hAnsi="Times New Roman"/>
                <w:sz w:val="24"/>
                <w:szCs w:val="24"/>
              </w:rPr>
            </w:pPr>
            <w:r>
              <w:rPr>
                <w:rFonts w:ascii="Times New Roman" w:hAnsi="Times New Roman"/>
                <w:color w:val="000000" w:themeColor="text1"/>
                <w:sz w:val="24"/>
                <w:szCs w:val="24"/>
              </w:rPr>
              <w:t>0.57 ± 0.45*</w:t>
            </w:r>
          </w:p>
        </w:tc>
        <w:tc>
          <w:tcPr>
            <w:tcW w:w="993" w:type="pct"/>
          </w:tcPr>
          <w:p w14:paraId="3D14D7D2" w14:textId="77777777" w:rsidR="001612D5" w:rsidRDefault="00000000">
            <w:pPr>
              <w:jc w:val="left"/>
              <w:rPr>
                <w:rFonts w:ascii="Times New Roman" w:hAnsi="Times New Roman"/>
                <w:sz w:val="24"/>
                <w:szCs w:val="24"/>
              </w:rPr>
            </w:pPr>
            <w:r>
              <w:rPr>
                <w:rFonts w:ascii="Times New Roman" w:hAnsi="Times New Roman"/>
                <w:sz w:val="24"/>
                <w:szCs w:val="24"/>
              </w:rPr>
              <w:t>0.003</w:t>
            </w:r>
          </w:p>
        </w:tc>
      </w:tr>
      <w:tr w:rsidR="001612D5" w14:paraId="384E207F" w14:textId="77777777">
        <w:trPr>
          <w:trHeight w:val="414"/>
        </w:trPr>
        <w:tc>
          <w:tcPr>
            <w:tcW w:w="1029" w:type="pct"/>
          </w:tcPr>
          <w:p w14:paraId="4D1C576E" w14:textId="77777777" w:rsidR="001612D5" w:rsidRDefault="00000000">
            <w:pPr>
              <w:jc w:val="left"/>
              <w:rPr>
                <w:rFonts w:ascii="Times New Roman" w:hAnsi="Times New Roman"/>
                <w:sz w:val="24"/>
                <w:szCs w:val="24"/>
              </w:rPr>
            </w:pPr>
            <w:r>
              <w:rPr>
                <w:rFonts w:ascii="Times New Roman" w:hAnsi="Times New Roman"/>
                <w:sz w:val="24"/>
                <w:szCs w:val="24"/>
              </w:rPr>
              <w:t>M1</w:t>
            </w:r>
          </w:p>
        </w:tc>
        <w:tc>
          <w:tcPr>
            <w:tcW w:w="499" w:type="pct"/>
          </w:tcPr>
          <w:p w14:paraId="5352F96A" w14:textId="77777777" w:rsidR="001612D5" w:rsidRDefault="00000000">
            <w:pPr>
              <w:jc w:val="left"/>
              <w:rPr>
                <w:rFonts w:ascii="Times New Roman" w:hAnsi="Times New Roman"/>
                <w:sz w:val="24"/>
                <w:szCs w:val="24"/>
              </w:rPr>
            </w:pPr>
            <w:r>
              <w:rPr>
                <w:rFonts w:ascii="Times New Roman" w:hAnsi="Times New Roman"/>
                <w:sz w:val="24"/>
                <w:szCs w:val="24"/>
              </w:rPr>
              <w:t>42</w:t>
            </w:r>
          </w:p>
        </w:tc>
        <w:tc>
          <w:tcPr>
            <w:tcW w:w="1276" w:type="pct"/>
          </w:tcPr>
          <w:p w14:paraId="31374B46"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0.09 ± 0.18</w:t>
            </w:r>
          </w:p>
        </w:tc>
        <w:tc>
          <w:tcPr>
            <w:tcW w:w="1203" w:type="pct"/>
          </w:tcPr>
          <w:p w14:paraId="314F8842" w14:textId="676D776E" w:rsidR="001612D5" w:rsidRDefault="00000000">
            <w:pPr>
              <w:jc w:val="left"/>
              <w:rPr>
                <w:rFonts w:ascii="Times New Roman" w:hAnsi="Times New Roman"/>
                <w:sz w:val="24"/>
                <w:szCs w:val="24"/>
              </w:rPr>
            </w:pPr>
            <w:r>
              <w:rPr>
                <w:rFonts w:ascii="Times New Roman" w:hAnsi="Times New Roman"/>
                <w:color w:val="000000" w:themeColor="text1"/>
                <w:sz w:val="24"/>
                <w:szCs w:val="24"/>
              </w:rPr>
              <w:t>0.07 ± 0.33</w:t>
            </w:r>
          </w:p>
        </w:tc>
        <w:tc>
          <w:tcPr>
            <w:tcW w:w="993" w:type="pct"/>
          </w:tcPr>
          <w:p w14:paraId="532B1EEC" w14:textId="77777777" w:rsidR="001612D5" w:rsidRDefault="00000000">
            <w:pPr>
              <w:jc w:val="left"/>
              <w:rPr>
                <w:rFonts w:ascii="Times New Roman" w:hAnsi="Times New Roman"/>
                <w:sz w:val="24"/>
                <w:szCs w:val="24"/>
              </w:rPr>
            </w:pPr>
            <w:r>
              <w:rPr>
                <w:rFonts w:ascii="Times New Roman" w:hAnsi="Times New Roman"/>
                <w:sz w:val="24"/>
                <w:szCs w:val="24"/>
              </w:rPr>
              <w:t>0.421</w:t>
            </w:r>
          </w:p>
        </w:tc>
      </w:tr>
      <w:tr w:rsidR="001612D5" w14:paraId="534A0B84" w14:textId="77777777">
        <w:trPr>
          <w:trHeight w:val="414"/>
        </w:trPr>
        <w:tc>
          <w:tcPr>
            <w:tcW w:w="1029" w:type="pct"/>
          </w:tcPr>
          <w:p w14:paraId="28417D08" w14:textId="77777777" w:rsidR="001612D5" w:rsidRDefault="00000000">
            <w:pPr>
              <w:jc w:val="left"/>
              <w:rPr>
                <w:rFonts w:ascii="Times New Roman" w:hAnsi="Times New Roman"/>
                <w:sz w:val="24"/>
                <w:szCs w:val="24"/>
              </w:rPr>
            </w:pPr>
            <w:r>
              <w:rPr>
                <w:rFonts w:ascii="Times New Roman" w:hAnsi="Times New Roman"/>
                <w:sz w:val="24"/>
                <w:szCs w:val="24"/>
              </w:rPr>
              <w:t>P4</w:t>
            </w:r>
          </w:p>
        </w:tc>
        <w:tc>
          <w:tcPr>
            <w:tcW w:w="499" w:type="pct"/>
          </w:tcPr>
          <w:p w14:paraId="73666E06" w14:textId="77777777" w:rsidR="001612D5" w:rsidRDefault="00000000">
            <w:pPr>
              <w:jc w:val="left"/>
              <w:rPr>
                <w:rFonts w:ascii="Times New Roman" w:hAnsi="Times New Roman"/>
                <w:sz w:val="24"/>
                <w:szCs w:val="24"/>
              </w:rPr>
            </w:pPr>
            <w:r>
              <w:rPr>
                <w:rFonts w:ascii="Times New Roman" w:hAnsi="Times New Roman"/>
                <w:sz w:val="24"/>
                <w:szCs w:val="24"/>
              </w:rPr>
              <w:t>42</w:t>
            </w:r>
          </w:p>
        </w:tc>
        <w:tc>
          <w:tcPr>
            <w:tcW w:w="1276" w:type="pct"/>
          </w:tcPr>
          <w:p w14:paraId="3B97DF61"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0.18 ± 0.22</w:t>
            </w:r>
          </w:p>
        </w:tc>
        <w:tc>
          <w:tcPr>
            <w:tcW w:w="1203" w:type="pct"/>
          </w:tcPr>
          <w:p w14:paraId="4C61682D" w14:textId="1EAEF51A" w:rsidR="001612D5" w:rsidRDefault="00000000">
            <w:pPr>
              <w:jc w:val="left"/>
              <w:rPr>
                <w:rFonts w:ascii="Times New Roman" w:hAnsi="Times New Roman"/>
                <w:sz w:val="24"/>
                <w:szCs w:val="24"/>
              </w:rPr>
            </w:pPr>
            <w:r>
              <w:rPr>
                <w:rFonts w:ascii="Times New Roman" w:hAnsi="Times New Roman"/>
                <w:color w:val="000000" w:themeColor="text1"/>
                <w:sz w:val="24"/>
                <w:szCs w:val="24"/>
              </w:rPr>
              <w:t>0.19 ± 0.22</w:t>
            </w:r>
          </w:p>
        </w:tc>
        <w:tc>
          <w:tcPr>
            <w:tcW w:w="993" w:type="pct"/>
          </w:tcPr>
          <w:p w14:paraId="4FE65B51" w14:textId="77777777" w:rsidR="001612D5" w:rsidRDefault="00000000">
            <w:pPr>
              <w:jc w:val="left"/>
              <w:rPr>
                <w:rFonts w:ascii="Times New Roman" w:hAnsi="Times New Roman"/>
                <w:sz w:val="24"/>
                <w:szCs w:val="24"/>
              </w:rPr>
            </w:pPr>
            <w:r>
              <w:rPr>
                <w:rFonts w:ascii="Times New Roman" w:hAnsi="Times New Roman"/>
                <w:sz w:val="24"/>
                <w:szCs w:val="24"/>
              </w:rPr>
              <w:t>0.764</w:t>
            </w:r>
          </w:p>
        </w:tc>
      </w:tr>
      <w:tr w:rsidR="001612D5" w14:paraId="388CD937" w14:textId="77777777">
        <w:trPr>
          <w:trHeight w:val="414"/>
        </w:trPr>
        <w:tc>
          <w:tcPr>
            <w:tcW w:w="1029" w:type="pct"/>
          </w:tcPr>
          <w:p w14:paraId="5AA89FAB" w14:textId="77777777" w:rsidR="001612D5" w:rsidRDefault="00000000">
            <w:pPr>
              <w:jc w:val="left"/>
              <w:rPr>
                <w:rFonts w:ascii="Times New Roman" w:hAnsi="Times New Roman"/>
                <w:sz w:val="24"/>
                <w:szCs w:val="24"/>
              </w:rPr>
            </w:pPr>
            <w:r>
              <w:rPr>
                <w:rFonts w:ascii="Times New Roman" w:hAnsi="Times New Roman"/>
                <w:sz w:val="24"/>
                <w:szCs w:val="24"/>
              </w:rPr>
              <w:t>P3</w:t>
            </w:r>
          </w:p>
        </w:tc>
        <w:tc>
          <w:tcPr>
            <w:tcW w:w="499" w:type="pct"/>
          </w:tcPr>
          <w:p w14:paraId="12023F5C" w14:textId="77777777" w:rsidR="001612D5" w:rsidRDefault="00000000">
            <w:pPr>
              <w:jc w:val="left"/>
              <w:rPr>
                <w:rFonts w:ascii="Times New Roman" w:hAnsi="Times New Roman"/>
                <w:sz w:val="24"/>
                <w:szCs w:val="24"/>
              </w:rPr>
            </w:pPr>
            <w:r>
              <w:rPr>
                <w:rFonts w:ascii="Times New Roman" w:hAnsi="Times New Roman"/>
                <w:sz w:val="24"/>
                <w:szCs w:val="24"/>
              </w:rPr>
              <w:t>42</w:t>
            </w:r>
          </w:p>
        </w:tc>
        <w:tc>
          <w:tcPr>
            <w:tcW w:w="1276" w:type="pct"/>
          </w:tcPr>
          <w:p w14:paraId="7B4576E6"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0.16 ± 0.38</w:t>
            </w:r>
          </w:p>
        </w:tc>
        <w:tc>
          <w:tcPr>
            <w:tcW w:w="1203" w:type="pct"/>
          </w:tcPr>
          <w:p w14:paraId="32EF4486" w14:textId="78A14F61" w:rsidR="001612D5" w:rsidRDefault="00000000">
            <w:pPr>
              <w:jc w:val="left"/>
              <w:rPr>
                <w:rFonts w:ascii="Times New Roman" w:hAnsi="Times New Roman"/>
                <w:sz w:val="24"/>
                <w:szCs w:val="24"/>
              </w:rPr>
            </w:pPr>
            <w:r>
              <w:rPr>
                <w:rFonts w:ascii="Times New Roman" w:hAnsi="Times New Roman"/>
                <w:color w:val="000000" w:themeColor="text1"/>
                <w:sz w:val="24"/>
                <w:szCs w:val="24"/>
              </w:rPr>
              <w:t>0.18 ± 0.38</w:t>
            </w:r>
          </w:p>
        </w:tc>
        <w:tc>
          <w:tcPr>
            <w:tcW w:w="993" w:type="pct"/>
          </w:tcPr>
          <w:p w14:paraId="2024A2F8" w14:textId="77777777" w:rsidR="001612D5" w:rsidRDefault="00000000">
            <w:pPr>
              <w:jc w:val="left"/>
              <w:rPr>
                <w:rFonts w:ascii="Times New Roman" w:hAnsi="Times New Roman"/>
                <w:sz w:val="24"/>
                <w:szCs w:val="24"/>
              </w:rPr>
            </w:pPr>
            <w:r>
              <w:rPr>
                <w:rFonts w:ascii="Times New Roman" w:hAnsi="Times New Roman"/>
                <w:sz w:val="24"/>
                <w:szCs w:val="24"/>
              </w:rPr>
              <w:t>0.558</w:t>
            </w:r>
          </w:p>
        </w:tc>
      </w:tr>
      <w:tr w:rsidR="001612D5" w14:paraId="1CF69AEF" w14:textId="77777777">
        <w:trPr>
          <w:trHeight w:val="414"/>
        </w:trPr>
        <w:tc>
          <w:tcPr>
            <w:tcW w:w="1029" w:type="pct"/>
          </w:tcPr>
          <w:p w14:paraId="0E75D3A6" w14:textId="77777777" w:rsidR="001612D5" w:rsidRDefault="00000000">
            <w:pPr>
              <w:jc w:val="left"/>
              <w:rPr>
                <w:rFonts w:ascii="Times New Roman" w:hAnsi="Times New Roman"/>
                <w:sz w:val="24"/>
                <w:szCs w:val="24"/>
              </w:rPr>
            </w:pPr>
            <w:r>
              <w:rPr>
                <w:rFonts w:ascii="Times New Roman" w:hAnsi="Times New Roman"/>
                <w:sz w:val="24"/>
                <w:szCs w:val="24"/>
              </w:rPr>
              <w:t>P2</w:t>
            </w:r>
          </w:p>
        </w:tc>
        <w:tc>
          <w:tcPr>
            <w:tcW w:w="499" w:type="pct"/>
          </w:tcPr>
          <w:p w14:paraId="5945316A" w14:textId="77777777" w:rsidR="001612D5" w:rsidRDefault="00000000">
            <w:pPr>
              <w:jc w:val="left"/>
              <w:rPr>
                <w:rFonts w:ascii="Times New Roman" w:hAnsi="Times New Roman"/>
                <w:sz w:val="24"/>
                <w:szCs w:val="24"/>
              </w:rPr>
            </w:pPr>
            <w:r>
              <w:rPr>
                <w:rFonts w:ascii="Times New Roman" w:hAnsi="Times New Roman"/>
                <w:sz w:val="24"/>
                <w:szCs w:val="24"/>
              </w:rPr>
              <w:t>42</w:t>
            </w:r>
          </w:p>
        </w:tc>
        <w:tc>
          <w:tcPr>
            <w:tcW w:w="1276" w:type="pct"/>
          </w:tcPr>
          <w:p w14:paraId="4E858C7E" w14:textId="77777777" w:rsidR="001612D5" w:rsidRDefault="00000000">
            <w:pPr>
              <w:jc w:val="left"/>
              <w:rPr>
                <w:rFonts w:ascii="Times New Roman" w:hAnsi="Times New Roman"/>
                <w:sz w:val="24"/>
                <w:szCs w:val="24"/>
              </w:rPr>
            </w:pPr>
            <w:r>
              <w:rPr>
                <w:rFonts w:ascii="Times New Roman" w:hAnsi="Times New Roman"/>
                <w:color w:val="000000" w:themeColor="text1"/>
                <w:sz w:val="24"/>
                <w:szCs w:val="24"/>
              </w:rPr>
              <w:t>0.16 ± 0.39</w:t>
            </w:r>
          </w:p>
        </w:tc>
        <w:tc>
          <w:tcPr>
            <w:tcW w:w="1203" w:type="pct"/>
          </w:tcPr>
          <w:p w14:paraId="746BA792" w14:textId="491E106B" w:rsidR="001612D5" w:rsidRDefault="00000000">
            <w:pPr>
              <w:jc w:val="left"/>
              <w:rPr>
                <w:rFonts w:ascii="Times New Roman" w:hAnsi="Times New Roman"/>
                <w:sz w:val="24"/>
                <w:szCs w:val="24"/>
              </w:rPr>
            </w:pPr>
            <w:r>
              <w:rPr>
                <w:rFonts w:ascii="Times New Roman" w:hAnsi="Times New Roman"/>
                <w:color w:val="000000" w:themeColor="text1"/>
                <w:sz w:val="24"/>
                <w:szCs w:val="24"/>
              </w:rPr>
              <w:t>0.18 ± 0.39</w:t>
            </w:r>
          </w:p>
        </w:tc>
        <w:tc>
          <w:tcPr>
            <w:tcW w:w="993" w:type="pct"/>
          </w:tcPr>
          <w:p w14:paraId="61087829" w14:textId="77777777" w:rsidR="001612D5" w:rsidRDefault="00000000">
            <w:pPr>
              <w:jc w:val="left"/>
              <w:rPr>
                <w:rFonts w:ascii="Times New Roman" w:hAnsi="Times New Roman"/>
                <w:sz w:val="24"/>
                <w:szCs w:val="24"/>
              </w:rPr>
            </w:pPr>
            <w:r>
              <w:rPr>
                <w:rFonts w:ascii="Times New Roman" w:hAnsi="Times New Roman"/>
                <w:sz w:val="24"/>
                <w:szCs w:val="24"/>
              </w:rPr>
              <w:t>0.652</w:t>
            </w:r>
          </w:p>
        </w:tc>
      </w:tr>
      <w:tr w:rsidR="001612D5" w14:paraId="66968941" w14:textId="77777777">
        <w:trPr>
          <w:trHeight w:val="414"/>
        </w:trPr>
        <w:tc>
          <w:tcPr>
            <w:tcW w:w="1029" w:type="pct"/>
          </w:tcPr>
          <w:p w14:paraId="3BA274BA" w14:textId="77777777" w:rsidR="001612D5" w:rsidRDefault="00000000">
            <w:pPr>
              <w:jc w:val="left"/>
              <w:rPr>
                <w:rFonts w:ascii="Times New Roman" w:hAnsi="Times New Roman"/>
                <w:sz w:val="24"/>
                <w:szCs w:val="24"/>
              </w:rPr>
            </w:pPr>
            <w:r>
              <w:rPr>
                <w:rFonts w:ascii="Times New Roman" w:hAnsi="Times New Roman"/>
                <w:i/>
                <w:iCs/>
                <w:sz w:val="24"/>
                <w:szCs w:val="24"/>
              </w:rPr>
              <w:t>P</w:t>
            </w:r>
            <w:r>
              <w:rPr>
                <w:rFonts w:ascii="Times New Roman" w:hAnsi="Times New Roman"/>
                <w:sz w:val="24"/>
                <w:szCs w:val="24"/>
              </w:rPr>
              <w:t xml:space="preserve"> value</w:t>
            </w:r>
          </w:p>
        </w:tc>
        <w:tc>
          <w:tcPr>
            <w:tcW w:w="499" w:type="pct"/>
          </w:tcPr>
          <w:p w14:paraId="6264DC5C" w14:textId="77777777" w:rsidR="001612D5" w:rsidRDefault="001612D5">
            <w:pPr>
              <w:jc w:val="left"/>
              <w:rPr>
                <w:rFonts w:ascii="Times New Roman" w:hAnsi="Times New Roman"/>
                <w:sz w:val="24"/>
                <w:szCs w:val="24"/>
              </w:rPr>
            </w:pPr>
          </w:p>
        </w:tc>
        <w:tc>
          <w:tcPr>
            <w:tcW w:w="1276" w:type="pct"/>
          </w:tcPr>
          <w:p w14:paraId="526698A0" w14:textId="77777777" w:rsidR="001612D5" w:rsidRDefault="00000000">
            <w:pPr>
              <w:jc w:val="left"/>
              <w:rPr>
                <w:rFonts w:ascii="Times New Roman" w:hAnsi="Times New Roman"/>
                <w:sz w:val="24"/>
                <w:szCs w:val="24"/>
              </w:rPr>
            </w:pPr>
            <w:r>
              <w:rPr>
                <w:rFonts w:ascii="Times New Roman" w:hAnsi="Times New Roman"/>
                <w:sz w:val="24"/>
                <w:szCs w:val="24"/>
              </w:rPr>
              <w:t>&lt; 0.003</w:t>
            </w:r>
          </w:p>
        </w:tc>
        <w:tc>
          <w:tcPr>
            <w:tcW w:w="1203" w:type="pct"/>
          </w:tcPr>
          <w:p w14:paraId="44FA1ED9" w14:textId="77777777" w:rsidR="001612D5" w:rsidRDefault="00000000">
            <w:pPr>
              <w:jc w:val="left"/>
              <w:rPr>
                <w:rFonts w:ascii="Times New Roman" w:hAnsi="Times New Roman"/>
                <w:sz w:val="24"/>
                <w:szCs w:val="24"/>
              </w:rPr>
            </w:pPr>
            <w:r>
              <w:rPr>
                <w:rFonts w:ascii="Times New Roman" w:hAnsi="Times New Roman"/>
                <w:sz w:val="24"/>
                <w:szCs w:val="24"/>
              </w:rPr>
              <w:t>&lt; 0.003</w:t>
            </w:r>
          </w:p>
        </w:tc>
        <w:tc>
          <w:tcPr>
            <w:tcW w:w="993" w:type="pct"/>
          </w:tcPr>
          <w:p w14:paraId="4A7E33D0" w14:textId="77777777" w:rsidR="001612D5" w:rsidRDefault="001612D5">
            <w:pPr>
              <w:jc w:val="left"/>
              <w:rPr>
                <w:rFonts w:ascii="Times New Roman" w:hAnsi="Times New Roman"/>
                <w:sz w:val="24"/>
                <w:szCs w:val="24"/>
              </w:rPr>
            </w:pPr>
          </w:p>
        </w:tc>
      </w:tr>
      <w:tr w:rsidR="001612D5" w14:paraId="56B8C7B0" w14:textId="77777777">
        <w:trPr>
          <w:trHeight w:val="414"/>
        </w:trPr>
        <w:tc>
          <w:tcPr>
            <w:tcW w:w="1029" w:type="pct"/>
          </w:tcPr>
          <w:p w14:paraId="381C6286" w14:textId="77777777" w:rsidR="001612D5" w:rsidRDefault="00000000">
            <w:pPr>
              <w:jc w:val="left"/>
              <w:rPr>
                <w:rFonts w:ascii="Times New Roman" w:hAnsi="Times New Roman"/>
                <w:sz w:val="24"/>
                <w:szCs w:val="24"/>
              </w:rPr>
            </w:pPr>
            <w:r>
              <w:rPr>
                <w:rFonts w:ascii="Times New Roman" w:hAnsi="Times New Roman"/>
                <w:sz w:val="24"/>
                <w:szCs w:val="24"/>
              </w:rPr>
              <w:t>Site comparisons</w:t>
            </w:r>
          </w:p>
        </w:tc>
        <w:tc>
          <w:tcPr>
            <w:tcW w:w="499" w:type="pct"/>
          </w:tcPr>
          <w:p w14:paraId="33FC7557" w14:textId="77777777" w:rsidR="001612D5" w:rsidRDefault="001612D5">
            <w:pPr>
              <w:jc w:val="left"/>
              <w:rPr>
                <w:rFonts w:ascii="Times New Roman" w:hAnsi="Times New Roman"/>
                <w:sz w:val="24"/>
                <w:szCs w:val="24"/>
              </w:rPr>
            </w:pPr>
          </w:p>
        </w:tc>
        <w:tc>
          <w:tcPr>
            <w:tcW w:w="1276" w:type="pct"/>
          </w:tcPr>
          <w:p w14:paraId="772E4918" w14:textId="77777777" w:rsidR="001612D5" w:rsidRDefault="00000000">
            <w:pPr>
              <w:jc w:val="left"/>
              <w:rPr>
                <w:rFonts w:ascii="Times New Roman" w:hAnsi="Times New Roman"/>
                <w:sz w:val="24"/>
                <w:szCs w:val="24"/>
              </w:rPr>
            </w:pPr>
            <w:r>
              <w:rPr>
                <w:rFonts w:ascii="Times New Roman" w:hAnsi="Times New Roman"/>
                <w:sz w:val="24"/>
                <w:szCs w:val="24"/>
              </w:rPr>
              <w:t>P2 vs P3 vs P4 vs M1</w:t>
            </w:r>
          </w:p>
        </w:tc>
        <w:tc>
          <w:tcPr>
            <w:tcW w:w="1203" w:type="pct"/>
          </w:tcPr>
          <w:p w14:paraId="45B70A4A" w14:textId="77777777" w:rsidR="001612D5" w:rsidRDefault="00000000">
            <w:pPr>
              <w:jc w:val="left"/>
              <w:rPr>
                <w:rFonts w:ascii="Times New Roman" w:hAnsi="Times New Roman"/>
                <w:sz w:val="24"/>
                <w:szCs w:val="24"/>
              </w:rPr>
            </w:pPr>
            <w:r>
              <w:rPr>
                <w:rFonts w:ascii="Times New Roman" w:hAnsi="Times New Roman"/>
                <w:sz w:val="24"/>
                <w:szCs w:val="24"/>
              </w:rPr>
              <w:t>P2 vs P3 vs P4 vs M1</w:t>
            </w:r>
          </w:p>
        </w:tc>
        <w:tc>
          <w:tcPr>
            <w:tcW w:w="993" w:type="pct"/>
          </w:tcPr>
          <w:p w14:paraId="1A129A5E" w14:textId="77777777" w:rsidR="001612D5" w:rsidRDefault="001612D5">
            <w:pPr>
              <w:jc w:val="left"/>
              <w:rPr>
                <w:rFonts w:ascii="Times New Roman" w:hAnsi="Times New Roman"/>
                <w:sz w:val="24"/>
                <w:szCs w:val="24"/>
              </w:rPr>
            </w:pPr>
          </w:p>
        </w:tc>
      </w:tr>
    </w:tbl>
    <w:p w14:paraId="2B3DE23A" w14:textId="4A15278C" w:rsidR="002B3755" w:rsidRDefault="002B3755" w:rsidP="002B3755">
      <w:pPr>
        <w:pStyle w:val="Prrafodelista"/>
        <w:spacing w:beforeLines="100" w:before="312" w:afterLines="100" w:after="312" w:line="300" w:lineRule="atLeast"/>
        <w:ind w:firstLineChars="0" w:firstLine="0"/>
        <w:jc w:val="left"/>
        <w:rPr>
          <w:rFonts w:ascii="Times New Roman" w:hAnsi="Times New Roman"/>
          <w:b/>
          <w:sz w:val="24"/>
          <w:szCs w:val="24"/>
        </w:rPr>
      </w:pPr>
    </w:p>
    <w:p w14:paraId="6523397F" w14:textId="761E317F" w:rsidR="002B3755" w:rsidRPr="002B3755" w:rsidRDefault="002B3755" w:rsidP="002B3755">
      <w:pPr>
        <w:widowControl/>
        <w:jc w:val="left"/>
        <w:rPr>
          <w:rFonts w:ascii="Times New Roman" w:hAnsi="Times New Roman"/>
          <w:b/>
          <w:sz w:val="24"/>
          <w:szCs w:val="24"/>
        </w:rPr>
      </w:pPr>
      <w:r>
        <w:rPr>
          <w:rFonts w:ascii="Times New Roman" w:hAnsi="Times New Roman"/>
          <w:b/>
          <w:sz w:val="24"/>
          <w:szCs w:val="24"/>
        </w:rPr>
        <w:br w:type="page"/>
      </w:r>
    </w:p>
    <w:p w14:paraId="09D185FB" w14:textId="001C9F98" w:rsidR="001612D5" w:rsidRDefault="00000000">
      <w:pPr>
        <w:pStyle w:val="Prrafodelista"/>
        <w:numPr>
          <w:ilvl w:val="0"/>
          <w:numId w:val="2"/>
        </w:numPr>
        <w:spacing w:beforeLines="100" w:before="312" w:afterLines="100" w:after="312" w:line="300" w:lineRule="atLeast"/>
        <w:ind w:left="0" w:firstLineChars="0" w:firstLine="0"/>
        <w:jc w:val="left"/>
        <w:rPr>
          <w:rFonts w:ascii="Times New Roman" w:hAnsi="Times New Roman"/>
          <w:b/>
          <w:sz w:val="24"/>
          <w:szCs w:val="24"/>
        </w:rPr>
      </w:pPr>
      <w:r>
        <w:rPr>
          <w:rFonts w:ascii="Times New Roman" w:hAnsi="Times New Roman"/>
          <w:b/>
          <w:sz w:val="24"/>
          <w:szCs w:val="24"/>
        </w:rPr>
        <w:lastRenderedPageBreak/>
        <w:t>Discussion</w:t>
      </w:r>
    </w:p>
    <w:p w14:paraId="460D95E5" w14:textId="66D0AC82" w:rsidR="001612D5" w:rsidRDefault="00000000">
      <w:pPr>
        <w:autoSpaceDE w:val="0"/>
        <w:autoSpaceDN w:val="0"/>
        <w:adjustRightInd w:val="0"/>
        <w:spacing w:line="300" w:lineRule="atLeast"/>
        <w:ind w:firstLineChars="200" w:firstLine="480"/>
        <w:rPr>
          <w:rFonts w:ascii="Times New Roman" w:hAnsi="Times New Roman"/>
          <w:spacing w:val="-3"/>
          <w:sz w:val="24"/>
          <w:szCs w:val="24"/>
          <w:lang w:bidi="en-US"/>
        </w:rPr>
      </w:pPr>
      <w:r>
        <w:rPr>
          <w:rFonts w:ascii="Times New Roman" w:hAnsi="Times New Roman"/>
          <w:sz w:val="24"/>
          <w:szCs w:val="24"/>
          <w:lang w:bidi="en-US"/>
        </w:rPr>
        <w:t>This study aimed to evaluate the bone density around laser surface dental implants and compared it with conventional acid-etched surface implants with micro-CT, after 12 weeks of immediate post-extraction placement, in the jaws of Beagle dogs. Early loading in edentulous mandibles seems justified in cases with good implant primary stability Calvo-</w:t>
      </w:r>
      <w:proofErr w:type="spellStart"/>
      <w:r>
        <w:rPr>
          <w:rFonts w:ascii="Times New Roman" w:hAnsi="Times New Roman"/>
          <w:sz w:val="24"/>
          <w:szCs w:val="24"/>
          <w:lang w:bidi="en-US"/>
        </w:rPr>
        <w:t>Guirado</w:t>
      </w:r>
      <w:proofErr w:type="spellEnd"/>
      <w:r>
        <w:rPr>
          <w:rFonts w:ascii="Times New Roman" w:hAnsi="Times New Roman"/>
          <w:sz w:val="24"/>
          <w:szCs w:val="24"/>
          <w:lang w:bidi="en-US"/>
        </w:rPr>
        <w:t xml:space="preserve"> et al. stated that the immediate loading related to several factors such as bone relaxation following compression, biological changes associated with early bone healing, initiation of marginal bone resorption, and immediate loading conditions [3</w:t>
      </w:r>
      <w:r w:rsidR="00351170">
        <w:rPr>
          <w:rFonts w:ascii="Times New Roman" w:hAnsi="Times New Roman"/>
          <w:sz w:val="24"/>
          <w:szCs w:val="24"/>
          <w:lang w:bidi="en-US"/>
        </w:rPr>
        <w:t>2</w:t>
      </w:r>
      <w:r>
        <w:rPr>
          <w:rFonts w:ascii="Times New Roman" w:hAnsi="Times New Roman"/>
          <w:sz w:val="24"/>
          <w:szCs w:val="24"/>
          <w:lang w:bidi="en-US"/>
        </w:rPr>
        <w:t>,3</w:t>
      </w:r>
      <w:r w:rsidR="00351170">
        <w:rPr>
          <w:rFonts w:ascii="Times New Roman" w:hAnsi="Times New Roman"/>
          <w:sz w:val="24"/>
          <w:szCs w:val="24"/>
          <w:lang w:bidi="en-US"/>
        </w:rPr>
        <w:t>3</w:t>
      </w:r>
      <w:r>
        <w:rPr>
          <w:rFonts w:ascii="Times New Roman" w:hAnsi="Times New Roman"/>
          <w:sz w:val="24"/>
          <w:szCs w:val="24"/>
          <w:lang w:bidi="en-US"/>
        </w:rPr>
        <w:t>]. Micro-CT has proven to be a suitable technique for assessing bone quality and quantity in animal models, it is also a valuable tool for evaluating human biopsies and necropsies, having been used not only qualitatively but also quantitatively in different clinical situations [3</w:t>
      </w:r>
      <w:r w:rsidR="00351170">
        <w:rPr>
          <w:rFonts w:ascii="Times New Roman" w:hAnsi="Times New Roman"/>
          <w:sz w:val="24"/>
          <w:szCs w:val="24"/>
          <w:lang w:bidi="en-US"/>
        </w:rPr>
        <w:t>4</w:t>
      </w:r>
      <w:r>
        <w:rPr>
          <w:rFonts w:ascii="Times New Roman" w:hAnsi="Times New Roman"/>
          <w:sz w:val="24"/>
          <w:szCs w:val="24"/>
          <w:lang w:bidi="en-US"/>
        </w:rPr>
        <w:t>–3</w:t>
      </w:r>
      <w:r w:rsidR="00351170">
        <w:rPr>
          <w:rFonts w:ascii="Times New Roman" w:hAnsi="Times New Roman"/>
          <w:sz w:val="24"/>
          <w:szCs w:val="24"/>
          <w:lang w:bidi="en-US"/>
        </w:rPr>
        <w:t>6</w:t>
      </w:r>
      <w:r>
        <w:rPr>
          <w:rFonts w:ascii="Times New Roman" w:hAnsi="Times New Roman"/>
          <w:sz w:val="24"/>
          <w:szCs w:val="24"/>
          <w:lang w:bidi="en-US"/>
        </w:rPr>
        <w:t>]. It is a noninvasive diagnostic tool that allows the use of samples for other types of measurements and is also of great interest in the clinic, where, for obvious reasons, conventional histomorphometry cannot be performed [3</w:t>
      </w:r>
      <w:r w:rsidR="00351170">
        <w:rPr>
          <w:rFonts w:ascii="Times New Roman" w:hAnsi="Times New Roman"/>
          <w:sz w:val="24"/>
          <w:szCs w:val="24"/>
          <w:lang w:bidi="en-US"/>
        </w:rPr>
        <w:t>7</w:t>
      </w:r>
      <w:r>
        <w:rPr>
          <w:rFonts w:ascii="Times New Roman" w:hAnsi="Times New Roman"/>
          <w:sz w:val="24"/>
          <w:szCs w:val="24"/>
          <w:lang w:bidi="en-US"/>
        </w:rPr>
        <w:t xml:space="preserve">]. Micro-CT can be used to evaluate the morphometric characteristics as a complementary alternative to conventional histological and </w:t>
      </w:r>
      <w:proofErr w:type="spellStart"/>
      <w:r>
        <w:rPr>
          <w:rFonts w:ascii="Times New Roman" w:hAnsi="Times New Roman"/>
          <w:sz w:val="24"/>
          <w:szCs w:val="24"/>
          <w:lang w:bidi="en-US"/>
        </w:rPr>
        <w:t>histomorphometric</w:t>
      </w:r>
      <w:proofErr w:type="spellEnd"/>
      <w:r>
        <w:rPr>
          <w:rFonts w:ascii="Times New Roman" w:hAnsi="Times New Roman"/>
          <w:sz w:val="24"/>
          <w:szCs w:val="24"/>
          <w:lang w:bidi="en-US"/>
        </w:rPr>
        <w:t xml:space="preserve"> analysis [3</w:t>
      </w:r>
      <w:r w:rsidR="00351170">
        <w:rPr>
          <w:rFonts w:ascii="Times New Roman" w:hAnsi="Times New Roman"/>
          <w:sz w:val="24"/>
          <w:szCs w:val="24"/>
          <w:lang w:bidi="en-US"/>
        </w:rPr>
        <w:t>8</w:t>
      </w:r>
      <w:r>
        <w:rPr>
          <w:rFonts w:ascii="Times New Roman" w:hAnsi="Times New Roman"/>
          <w:sz w:val="24"/>
          <w:szCs w:val="24"/>
          <w:lang w:bidi="en-US"/>
        </w:rPr>
        <w:t>]. In addition, it is an accurate and time-saving technique for determining bone morphometry compared to manual methods [</w:t>
      </w:r>
      <w:r w:rsidR="00351170">
        <w:rPr>
          <w:rFonts w:ascii="Times New Roman" w:hAnsi="Times New Roman"/>
          <w:sz w:val="24"/>
          <w:szCs w:val="24"/>
          <w:lang w:bidi="en-US"/>
        </w:rPr>
        <w:t>39</w:t>
      </w:r>
      <w:r>
        <w:rPr>
          <w:rFonts w:ascii="Times New Roman" w:hAnsi="Times New Roman"/>
          <w:sz w:val="24"/>
          <w:szCs w:val="24"/>
          <w:lang w:bidi="en-US"/>
        </w:rPr>
        <w:t>–4</w:t>
      </w:r>
      <w:r w:rsidR="00351170">
        <w:rPr>
          <w:rFonts w:ascii="Times New Roman" w:hAnsi="Times New Roman"/>
          <w:sz w:val="24"/>
          <w:szCs w:val="24"/>
          <w:lang w:bidi="en-US"/>
        </w:rPr>
        <w:t>1</w:t>
      </w:r>
      <w:r>
        <w:rPr>
          <w:rFonts w:ascii="Times New Roman" w:hAnsi="Times New Roman"/>
          <w:sz w:val="24"/>
          <w:szCs w:val="24"/>
          <w:lang w:bidi="en-US"/>
        </w:rPr>
        <w:t>]. In our research, measurements of Hounsfield units ranged from 330 to 995 when all 168 sites were evaluated 12 weeks after implantation. A total of 168 sites were analyzed for the three surfaces studied in the crestal, medial, and apical levels (ROIs) and at the implant locations (P2, P3, P4, and M1). In the Norton and Gamble study [4</w:t>
      </w:r>
      <w:r w:rsidR="00351170">
        <w:rPr>
          <w:rFonts w:ascii="Times New Roman" w:hAnsi="Times New Roman"/>
          <w:sz w:val="24"/>
          <w:szCs w:val="24"/>
          <w:lang w:bidi="en-US"/>
        </w:rPr>
        <w:t>2</w:t>
      </w:r>
      <w:r>
        <w:rPr>
          <w:rFonts w:ascii="Times New Roman" w:hAnsi="Times New Roman"/>
          <w:sz w:val="24"/>
          <w:szCs w:val="24"/>
          <w:lang w:bidi="en-US"/>
        </w:rPr>
        <w:t>], taken as a reference, a single standard implant of Ø3.5 mm × 11 mm length was used to allow the software to calculate the bone density values and, in our study, the implants used were Ø3.5 mm × 8.5 mm. The results of our study provided valuable information on different coatings of dental implants to achieve better and faster osseointegration: the surfaces treated with Laser showed similar bone density values around the implants to the control surface. The most validated strategy to improve the bone-implant interface continues to be the modification of the surface topography by increasing macro-, micro, and nano-roughness [4</w:t>
      </w:r>
      <w:r w:rsidR="00351170">
        <w:rPr>
          <w:rFonts w:ascii="Times New Roman" w:hAnsi="Times New Roman"/>
          <w:sz w:val="24"/>
          <w:szCs w:val="24"/>
          <w:lang w:bidi="en-US"/>
        </w:rPr>
        <w:t>3</w:t>
      </w:r>
      <w:r>
        <w:rPr>
          <w:rFonts w:ascii="Times New Roman" w:hAnsi="Times New Roman"/>
          <w:sz w:val="24"/>
          <w:szCs w:val="24"/>
          <w:lang w:bidi="en-US"/>
        </w:rPr>
        <w:t>]. On the other hand, to improve the bioactivity of implants, some studies have proposed surface modification by incorporating organic and inorganic ions and molecules, proteins, enzymes, and pharmaceuticals, on the Titanium oxide layer (TiO2). In this regard, combining organic and inorganic components in Titanium surface re-coatings would lead to bone-like coatings improving the functionality and biological efficacy [4</w:t>
      </w:r>
      <w:r w:rsidR="00351170">
        <w:rPr>
          <w:rFonts w:ascii="Times New Roman" w:hAnsi="Times New Roman"/>
          <w:sz w:val="24"/>
          <w:szCs w:val="24"/>
          <w:lang w:bidi="en-US"/>
        </w:rPr>
        <w:t>3</w:t>
      </w:r>
      <w:r>
        <w:rPr>
          <w:rFonts w:ascii="Times New Roman" w:hAnsi="Times New Roman"/>
          <w:sz w:val="24"/>
          <w:szCs w:val="24"/>
          <w:lang w:bidi="en-US"/>
        </w:rPr>
        <w:t>,4</w:t>
      </w:r>
      <w:r w:rsidR="00351170">
        <w:rPr>
          <w:rFonts w:ascii="Times New Roman" w:hAnsi="Times New Roman"/>
          <w:sz w:val="24"/>
          <w:szCs w:val="24"/>
          <w:lang w:bidi="en-US"/>
        </w:rPr>
        <w:t>4</w:t>
      </w:r>
      <w:r>
        <w:rPr>
          <w:rFonts w:ascii="Times New Roman" w:hAnsi="Times New Roman"/>
          <w:sz w:val="24"/>
          <w:szCs w:val="24"/>
          <w:lang w:bidi="en-US"/>
        </w:rPr>
        <w:t xml:space="preserve">]. Another finding of our study was the statistical significance we found for bone density in different levels (crestal, medial, and apical) (p &lt; 0.001) and positions (P2, P3, P4, and M1) (p = 0.032) of the implants. In this regard, our results agreed with Chavez et </w:t>
      </w:r>
      <w:r>
        <w:rPr>
          <w:rFonts w:ascii="Times New Roman" w:hAnsi="Times New Roman" w:hint="eastAsia"/>
          <w:sz w:val="24"/>
          <w:szCs w:val="24"/>
          <w:lang w:bidi="en-US"/>
        </w:rPr>
        <w:t>al</w:t>
      </w:r>
      <w:r>
        <w:rPr>
          <w:rFonts w:ascii="Times New Roman" w:hAnsi="Times New Roman"/>
          <w:sz w:val="24"/>
          <w:szCs w:val="24"/>
          <w:lang w:bidi="en-US"/>
        </w:rPr>
        <w:t>. [4</w:t>
      </w:r>
      <w:r w:rsidR="00351170">
        <w:rPr>
          <w:rFonts w:ascii="Times New Roman" w:hAnsi="Times New Roman"/>
          <w:sz w:val="24"/>
          <w:szCs w:val="24"/>
          <w:lang w:bidi="en-US"/>
        </w:rPr>
        <w:t>5</w:t>
      </w:r>
      <w:r>
        <w:rPr>
          <w:rFonts w:ascii="Times New Roman" w:hAnsi="Times New Roman"/>
          <w:sz w:val="24"/>
          <w:szCs w:val="24"/>
          <w:lang w:bidi="en-US"/>
        </w:rPr>
        <w:t>] who, in their respective studies in mandibles, found significant variations in bone density within the mandible, which would underline the importance of identifying specific locations before implant placement. We also found that micro-CT was a beneficial diagnostic method for measuring peri-implant BD measured in HU. This parameter is a key factor to consider when predicting implant stability and survival. This survival is conditioned by bone quality, i.e., bone density around implants is decisive for their osseointegration [4</w:t>
      </w:r>
      <w:r w:rsidR="00351170">
        <w:rPr>
          <w:rFonts w:ascii="Times New Roman" w:hAnsi="Times New Roman"/>
          <w:sz w:val="24"/>
          <w:szCs w:val="24"/>
          <w:lang w:bidi="en-US"/>
        </w:rPr>
        <w:t>5</w:t>
      </w:r>
      <w:r>
        <w:rPr>
          <w:rFonts w:ascii="Times New Roman" w:hAnsi="Times New Roman"/>
          <w:sz w:val="24"/>
          <w:szCs w:val="24"/>
          <w:lang w:bidi="en-US"/>
        </w:rPr>
        <w:t>,4</w:t>
      </w:r>
      <w:r w:rsidR="00351170">
        <w:rPr>
          <w:rFonts w:ascii="Times New Roman" w:hAnsi="Times New Roman"/>
          <w:sz w:val="24"/>
          <w:szCs w:val="24"/>
          <w:lang w:bidi="en-US"/>
        </w:rPr>
        <w:t>6</w:t>
      </w:r>
      <w:r>
        <w:rPr>
          <w:rFonts w:ascii="Times New Roman" w:hAnsi="Times New Roman"/>
          <w:sz w:val="24"/>
          <w:szCs w:val="24"/>
          <w:lang w:bidi="en-US"/>
        </w:rPr>
        <w:t>]. However, our study’s results showed several limitations that we describe below, agreeing with Barret and Smet et al., when defining an ROI in a micro-CT image. In this study, we draw ROIs at a “safe” distance from the implant in cross-sections, but, despite this, an image may be distorted by metallic scatter, and certain studies have highlighted the difficulty in performing an accurate morphometric analysis of the bony areas surrounding an implant [4</w:t>
      </w:r>
      <w:r w:rsidR="00351170">
        <w:rPr>
          <w:rFonts w:ascii="Times New Roman" w:hAnsi="Times New Roman"/>
          <w:sz w:val="24"/>
          <w:szCs w:val="24"/>
          <w:lang w:bidi="en-US"/>
        </w:rPr>
        <w:t>7</w:t>
      </w:r>
      <w:r>
        <w:rPr>
          <w:rFonts w:ascii="Times New Roman" w:hAnsi="Times New Roman"/>
          <w:sz w:val="24"/>
          <w:szCs w:val="24"/>
          <w:lang w:bidi="en-US"/>
        </w:rPr>
        <w:t>,4</w:t>
      </w:r>
      <w:r w:rsidR="00351170">
        <w:rPr>
          <w:rFonts w:ascii="Times New Roman" w:hAnsi="Times New Roman"/>
          <w:sz w:val="24"/>
          <w:szCs w:val="24"/>
          <w:lang w:bidi="en-US"/>
        </w:rPr>
        <w:t>8</w:t>
      </w:r>
      <w:r>
        <w:rPr>
          <w:rFonts w:ascii="Times New Roman" w:hAnsi="Times New Roman"/>
          <w:sz w:val="24"/>
          <w:szCs w:val="24"/>
          <w:lang w:bidi="en-US"/>
        </w:rPr>
        <w:t xml:space="preserve">]. </w:t>
      </w:r>
      <w:proofErr w:type="spellStart"/>
      <w:r>
        <w:rPr>
          <w:rFonts w:ascii="Times New Roman" w:hAnsi="Times New Roman"/>
          <w:sz w:val="24"/>
          <w:szCs w:val="24"/>
          <w:lang w:bidi="en-US"/>
        </w:rPr>
        <w:t>Rebaudi</w:t>
      </w:r>
      <w:proofErr w:type="spellEnd"/>
      <w:r>
        <w:rPr>
          <w:rFonts w:ascii="Times New Roman" w:hAnsi="Times New Roman"/>
          <w:sz w:val="24"/>
          <w:szCs w:val="24"/>
          <w:lang w:bidi="en-US"/>
        </w:rPr>
        <w:t xml:space="preserve"> et al. reported that these artifacts created in the areas close to </w:t>
      </w:r>
      <w:r>
        <w:rPr>
          <w:rFonts w:ascii="Times New Roman" w:hAnsi="Times New Roman"/>
          <w:sz w:val="24"/>
          <w:szCs w:val="24"/>
          <w:lang w:bidi="en-US"/>
        </w:rPr>
        <w:lastRenderedPageBreak/>
        <w:t>the implant would lead to biases in the measurement of bone density in these areas [</w:t>
      </w:r>
      <w:r w:rsidR="00351170">
        <w:rPr>
          <w:rFonts w:ascii="Times New Roman" w:hAnsi="Times New Roman"/>
          <w:sz w:val="24"/>
          <w:szCs w:val="24"/>
          <w:lang w:bidi="en-US"/>
        </w:rPr>
        <w:t>49</w:t>
      </w:r>
      <w:r>
        <w:rPr>
          <w:rFonts w:ascii="Times New Roman" w:hAnsi="Times New Roman"/>
          <w:sz w:val="24"/>
          <w:szCs w:val="24"/>
          <w:lang w:bidi="en-US"/>
        </w:rPr>
        <w:t>,5</w:t>
      </w:r>
      <w:r w:rsidR="00351170">
        <w:rPr>
          <w:rFonts w:ascii="Times New Roman" w:hAnsi="Times New Roman"/>
          <w:sz w:val="24"/>
          <w:szCs w:val="24"/>
          <w:lang w:bidi="en-US"/>
        </w:rPr>
        <w:t>0</w:t>
      </w:r>
      <w:r>
        <w:rPr>
          <w:rFonts w:ascii="Times New Roman" w:hAnsi="Times New Roman"/>
          <w:sz w:val="24"/>
          <w:szCs w:val="24"/>
          <w:lang w:bidi="en-US"/>
        </w:rPr>
        <w:t>]. In the same experimental study in dogs, Song et al. demonstrated that 45 to 63 mm was a reasonable distance to compensate for artifacts in bone morphometric analysis of an implant containing the tissue sample assessed by micro-CT, and the acquisition distance in our study far exceeded this figure [5</w:t>
      </w:r>
      <w:r w:rsidR="00351170">
        <w:rPr>
          <w:rFonts w:ascii="Times New Roman" w:hAnsi="Times New Roman"/>
          <w:sz w:val="24"/>
          <w:szCs w:val="24"/>
          <w:lang w:bidi="en-US"/>
        </w:rPr>
        <w:t>1</w:t>
      </w:r>
      <w:r>
        <w:rPr>
          <w:rFonts w:ascii="Times New Roman" w:hAnsi="Times New Roman"/>
          <w:sz w:val="24"/>
          <w:szCs w:val="24"/>
          <w:lang w:bidi="en-US"/>
        </w:rPr>
        <w:t xml:space="preserve">]. In a resume, micro-CT techniques are used to quantify peri-implant BD do not provide specific histological information on the nature of the bone formed around the surfaces tested, despite the color coding of the HU provided by the AMIDE software. Regarding clinical applicability, micro-CT imaging at the forefront of preclinical research can provide the quality and quantity of our bone, and it will be helpful to provide the quality and density around </w:t>
      </w:r>
      <w:proofErr w:type="spellStart"/>
      <w:r>
        <w:rPr>
          <w:rFonts w:ascii="Times New Roman" w:hAnsi="Times New Roman"/>
          <w:sz w:val="24"/>
          <w:szCs w:val="24"/>
          <w:lang w:bidi="en-US"/>
        </w:rPr>
        <w:t>Osseointegrated</w:t>
      </w:r>
      <w:proofErr w:type="spellEnd"/>
      <w:r>
        <w:rPr>
          <w:rFonts w:ascii="Times New Roman" w:hAnsi="Times New Roman"/>
          <w:sz w:val="24"/>
          <w:szCs w:val="24"/>
          <w:lang w:bidi="en-US"/>
        </w:rPr>
        <w:t xml:space="preserve"> implants. Micro CT has become an essential tool for analyzing mineralized tissues, increasing transparency and reproducibility, promoting best </w:t>
      </w:r>
      <w:r>
        <w:rPr>
          <w:rFonts w:ascii="Times New Roman" w:hAnsi="Times New Roman"/>
          <w:spacing w:val="-3"/>
          <w:sz w:val="24"/>
          <w:szCs w:val="24"/>
          <w:lang w:bidi="en-US"/>
        </w:rPr>
        <w:t xml:space="preserve">practices, and providing a basic framework to apply </w:t>
      </w:r>
      <w:proofErr w:type="spellStart"/>
      <w:r>
        <w:rPr>
          <w:rFonts w:ascii="Times New Roman" w:hAnsi="Times New Roman"/>
          <w:spacing w:val="-3"/>
          <w:sz w:val="24"/>
          <w:szCs w:val="24"/>
          <w:lang w:bidi="en-US"/>
        </w:rPr>
        <w:t>μCT</w:t>
      </w:r>
      <w:proofErr w:type="spellEnd"/>
      <w:r>
        <w:rPr>
          <w:rFonts w:ascii="Times New Roman" w:hAnsi="Times New Roman"/>
          <w:spacing w:val="-3"/>
          <w:sz w:val="24"/>
          <w:szCs w:val="24"/>
          <w:lang w:bidi="en-US"/>
        </w:rPr>
        <w:t xml:space="preserve"> analysis to the dentoalveolar complex in humans.</w:t>
      </w:r>
    </w:p>
    <w:p w14:paraId="123C5660" w14:textId="77777777" w:rsidR="001612D5" w:rsidRDefault="00000000">
      <w:pPr>
        <w:pStyle w:val="Prrafodelista"/>
        <w:numPr>
          <w:ilvl w:val="0"/>
          <w:numId w:val="2"/>
        </w:numPr>
        <w:spacing w:beforeLines="100" w:before="312" w:afterLines="100" w:after="312" w:line="300" w:lineRule="atLeast"/>
        <w:ind w:left="0" w:firstLineChars="0" w:firstLine="0"/>
        <w:jc w:val="left"/>
        <w:rPr>
          <w:rFonts w:ascii="Times New Roman" w:hAnsi="Times New Roman"/>
          <w:b/>
          <w:sz w:val="24"/>
          <w:szCs w:val="24"/>
        </w:rPr>
      </w:pPr>
      <w:r>
        <w:rPr>
          <w:rFonts w:ascii="Times New Roman" w:hAnsi="Times New Roman"/>
          <w:b/>
          <w:sz w:val="24"/>
          <w:szCs w:val="24"/>
        </w:rPr>
        <w:t>Con</w:t>
      </w:r>
      <w:r>
        <w:rPr>
          <w:rFonts w:ascii="Times New Roman" w:hAnsi="Times New Roman" w:hint="eastAsia"/>
          <w:b/>
          <w:sz w:val="24"/>
          <w:szCs w:val="24"/>
        </w:rPr>
        <w:t>c</w:t>
      </w:r>
      <w:r>
        <w:rPr>
          <w:rFonts w:ascii="Times New Roman" w:hAnsi="Times New Roman"/>
          <w:b/>
          <w:sz w:val="24"/>
          <w:szCs w:val="24"/>
        </w:rPr>
        <w:t>lusions</w:t>
      </w:r>
    </w:p>
    <w:p w14:paraId="2FCA4EBC" w14:textId="77777777" w:rsidR="001612D5" w:rsidRDefault="00000000">
      <w:pPr>
        <w:autoSpaceDE w:val="0"/>
        <w:autoSpaceDN w:val="0"/>
        <w:adjustRightInd w:val="0"/>
        <w:spacing w:line="300" w:lineRule="atLeast"/>
        <w:ind w:firstLineChars="200" w:firstLine="480"/>
        <w:rPr>
          <w:rFonts w:ascii="Times New Roman" w:hAnsi="Times New Roman"/>
          <w:bCs/>
          <w:sz w:val="24"/>
          <w:szCs w:val="24"/>
          <w:lang w:bidi="en-US"/>
        </w:rPr>
      </w:pPr>
      <w:r>
        <w:rPr>
          <w:rFonts w:ascii="Times New Roman" w:hAnsi="Times New Roman"/>
          <w:bCs/>
          <w:sz w:val="24"/>
          <w:szCs w:val="24"/>
          <w:lang w:bidi="en-US"/>
        </w:rPr>
        <w:t xml:space="preserve">Based on the experimental study,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implants with laser surface showed less marginal bone loss compared to control group implants placed at </w:t>
      </w:r>
      <w:proofErr w:type="spellStart"/>
      <w:r>
        <w:rPr>
          <w:rFonts w:ascii="Times New Roman" w:hAnsi="Times New Roman"/>
          <w:bCs/>
          <w:sz w:val="24"/>
          <w:szCs w:val="24"/>
          <w:lang w:bidi="en-US"/>
        </w:rPr>
        <w:t>subcrestal</w:t>
      </w:r>
      <w:proofErr w:type="spellEnd"/>
      <w:r>
        <w:rPr>
          <w:rFonts w:ascii="Times New Roman" w:hAnsi="Times New Roman"/>
          <w:bCs/>
          <w:sz w:val="24"/>
          <w:szCs w:val="24"/>
          <w:lang w:bidi="en-US"/>
        </w:rPr>
        <w:t xml:space="preserve"> level after Micro CT evaluation at three months follow-up. Micro CT revealed that the most common density type found around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laser surface implants was density D3 at the mesial and distal coronal part and density D4 at the middle and apical part. </w:t>
      </w:r>
      <w:proofErr w:type="spellStart"/>
      <w:r>
        <w:rPr>
          <w:rFonts w:ascii="Times New Roman" w:hAnsi="Times New Roman"/>
          <w:bCs/>
          <w:sz w:val="24"/>
          <w:szCs w:val="24"/>
          <w:lang w:bidi="en-US"/>
        </w:rPr>
        <w:t>Fixo</w:t>
      </w:r>
      <w:proofErr w:type="spellEnd"/>
      <w:r>
        <w:rPr>
          <w:rFonts w:ascii="Times New Roman" w:hAnsi="Times New Roman"/>
          <w:bCs/>
          <w:sz w:val="24"/>
          <w:szCs w:val="24"/>
          <w:lang w:bidi="en-US"/>
        </w:rPr>
        <w:t xml:space="preserve"> acid-etched surface showed the type of bone density D4 bone in hole implant at three months follow-up. We need the histological evaluation to compare the type of bone and bone-to-implant contact to confirm our micro-CT results, but it</w:t>
      </w:r>
      <w:r>
        <w:rPr>
          <w:rFonts w:ascii="Times New Roman" w:hAnsi="Times New Roman"/>
          <w:sz w:val="24"/>
          <w:szCs w:val="24"/>
          <w:lang w:bidi="en-US"/>
        </w:rPr>
        <w:t xml:space="preserve"> is a complementary method for histologic and </w:t>
      </w:r>
      <w:proofErr w:type="spellStart"/>
      <w:r>
        <w:rPr>
          <w:rFonts w:ascii="Times New Roman" w:hAnsi="Times New Roman"/>
          <w:sz w:val="24"/>
          <w:szCs w:val="24"/>
          <w:lang w:bidi="en-US"/>
        </w:rPr>
        <w:t>histomorphometric</w:t>
      </w:r>
      <w:proofErr w:type="spellEnd"/>
      <w:r>
        <w:rPr>
          <w:rFonts w:ascii="Times New Roman" w:hAnsi="Times New Roman"/>
          <w:sz w:val="24"/>
          <w:szCs w:val="24"/>
          <w:lang w:bidi="en-US"/>
        </w:rPr>
        <w:t xml:space="preserve"> analysis for implant surrounding bone density.</w:t>
      </w:r>
    </w:p>
    <w:p w14:paraId="7F3B3C10" w14:textId="77777777" w:rsidR="001612D5" w:rsidRDefault="00000000">
      <w:pPr>
        <w:pStyle w:val="Prrafodelista"/>
        <w:spacing w:beforeLines="100" w:before="312" w:afterLines="100" w:after="312" w:line="300" w:lineRule="atLeast"/>
        <w:ind w:firstLineChars="0" w:firstLine="0"/>
        <w:jc w:val="left"/>
        <w:rPr>
          <w:rFonts w:ascii="Times New Roman" w:hAnsi="Times New Roman"/>
          <w:sz w:val="24"/>
          <w:szCs w:val="24"/>
        </w:rPr>
      </w:pPr>
      <w:r>
        <w:rPr>
          <w:rFonts w:ascii="Times New Roman" w:hAnsi="Times New Roman"/>
          <w:b/>
          <w:sz w:val="24"/>
          <w:szCs w:val="24"/>
        </w:rPr>
        <w:t>Acknowledgments</w:t>
      </w:r>
    </w:p>
    <w:p w14:paraId="1E7C33BE" w14:textId="77777777" w:rsidR="001612D5" w:rsidRDefault="00000000">
      <w:pPr>
        <w:pStyle w:val="Prrafodelista"/>
        <w:spacing w:line="300" w:lineRule="atLeast"/>
        <w:ind w:firstLine="480"/>
        <w:rPr>
          <w:rFonts w:ascii="Times New Roman" w:hAnsi="Times New Roman"/>
          <w:sz w:val="24"/>
          <w:szCs w:val="24"/>
          <w:lang w:bidi="en-US"/>
        </w:rPr>
      </w:pPr>
      <w:r>
        <w:rPr>
          <w:rFonts w:ascii="Times New Roman" w:hAnsi="Times New Roman"/>
          <w:sz w:val="24"/>
          <w:szCs w:val="24"/>
        </w:rPr>
        <w:t xml:space="preserve">We would like to thank the companies </w:t>
      </w:r>
      <w:proofErr w:type="spellStart"/>
      <w:r>
        <w:rPr>
          <w:rFonts w:ascii="Times New Roman" w:hAnsi="Times New Roman"/>
          <w:sz w:val="24"/>
          <w:szCs w:val="24"/>
        </w:rPr>
        <w:t>Biomec</w:t>
      </w:r>
      <w:proofErr w:type="spellEnd"/>
      <w:r>
        <w:rPr>
          <w:rFonts w:ascii="Times New Roman" w:hAnsi="Times New Roman"/>
          <w:sz w:val="24"/>
          <w:szCs w:val="24"/>
        </w:rPr>
        <w:t xml:space="preserve"> SL (Italy) and MADIMPLANT (Madrid, Spain), </w:t>
      </w:r>
      <w:proofErr w:type="spellStart"/>
      <w:r>
        <w:rPr>
          <w:rFonts w:ascii="Times New Roman" w:hAnsi="Times New Roman"/>
          <w:sz w:val="24"/>
          <w:szCs w:val="24"/>
          <w:lang w:bidi="en-US"/>
        </w:rPr>
        <w:t>Olivio</w:t>
      </w:r>
      <w:proofErr w:type="spellEnd"/>
      <w:r>
        <w:rPr>
          <w:rFonts w:ascii="Times New Roman" w:hAnsi="Times New Roman"/>
          <w:sz w:val="24"/>
          <w:szCs w:val="24"/>
          <w:lang w:bidi="en-US"/>
        </w:rPr>
        <w:t xml:space="preserve"> Dela Bella and Eduardo </w:t>
      </w:r>
      <w:proofErr w:type="spellStart"/>
      <w:r>
        <w:rPr>
          <w:rFonts w:ascii="Times New Roman" w:hAnsi="Times New Roman"/>
          <w:sz w:val="24"/>
          <w:szCs w:val="24"/>
          <w:lang w:bidi="en-US"/>
        </w:rPr>
        <w:t>Izquierdo</w:t>
      </w:r>
      <w:proofErr w:type="spellEnd"/>
      <w:r>
        <w:rPr>
          <w:rFonts w:ascii="Times New Roman" w:hAnsi="Times New Roman"/>
          <w:sz w:val="24"/>
          <w:szCs w:val="24"/>
          <w:lang w:bidi="en-US"/>
        </w:rPr>
        <w:t>, who provided the material for its development and research.</w:t>
      </w:r>
    </w:p>
    <w:p w14:paraId="1DD9B24E" w14:textId="77777777" w:rsidR="001612D5" w:rsidRDefault="00000000">
      <w:pPr>
        <w:pStyle w:val="Prrafodelista"/>
        <w:spacing w:beforeLines="100" w:before="312" w:afterLines="100" w:after="312" w:line="300" w:lineRule="atLeast"/>
        <w:ind w:firstLineChars="0" w:firstLine="0"/>
        <w:jc w:val="left"/>
        <w:rPr>
          <w:rFonts w:ascii="Times New Roman" w:hAnsi="Times New Roman"/>
          <w:b/>
          <w:sz w:val="24"/>
          <w:szCs w:val="24"/>
        </w:rPr>
      </w:pPr>
      <w:r>
        <w:rPr>
          <w:rFonts w:ascii="Times New Roman" w:hAnsi="Times New Roman"/>
          <w:b/>
          <w:sz w:val="24"/>
          <w:szCs w:val="24"/>
        </w:rPr>
        <w:t xml:space="preserve">Conflict of </w:t>
      </w:r>
      <w:r>
        <w:rPr>
          <w:rFonts w:ascii="Times New Roman" w:hAnsi="Times New Roman" w:hint="eastAsia"/>
          <w:b/>
          <w:sz w:val="24"/>
          <w:szCs w:val="24"/>
        </w:rPr>
        <w:t>i</w:t>
      </w:r>
      <w:r>
        <w:rPr>
          <w:rFonts w:ascii="Times New Roman" w:hAnsi="Times New Roman"/>
          <w:b/>
          <w:sz w:val="24"/>
          <w:szCs w:val="24"/>
        </w:rPr>
        <w:t>nterest</w:t>
      </w:r>
    </w:p>
    <w:p w14:paraId="439A093E" w14:textId="77777777" w:rsidR="001612D5" w:rsidRDefault="00000000">
      <w:pPr>
        <w:pStyle w:val="Prrafodelista"/>
        <w:spacing w:line="300" w:lineRule="atLeast"/>
        <w:ind w:firstLine="480"/>
        <w:jc w:val="left"/>
        <w:rPr>
          <w:rFonts w:ascii="Times New Roman" w:hAnsi="Times New Roman"/>
          <w:b/>
          <w:sz w:val="24"/>
          <w:szCs w:val="24"/>
        </w:rPr>
      </w:pPr>
      <w:r>
        <w:rPr>
          <w:rFonts w:ascii="Times New Roman" w:hAnsi="Times New Roman"/>
          <w:bCs/>
          <w:sz w:val="24"/>
          <w:szCs w:val="24"/>
        </w:rPr>
        <w:t>The authors declare no conflict of interest.</w:t>
      </w:r>
    </w:p>
    <w:p w14:paraId="07615E21" w14:textId="77777777" w:rsidR="001612D5" w:rsidRDefault="00000000">
      <w:pPr>
        <w:pStyle w:val="Prrafodelista"/>
        <w:spacing w:beforeLines="100" w:before="312" w:afterLines="100" w:after="312" w:line="300" w:lineRule="atLeast"/>
        <w:ind w:firstLineChars="0" w:firstLine="0"/>
        <w:jc w:val="left"/>
        <w:rPr>
          <w:rFonts w:ascii="Times New Roman" w:hAnsi="Times New Roman"/>
          <w:b/>
          <w:sz w:val="24"/>
          <w:szCs w:val="24"/>
          <w:lang w:val="es-ES"/>
        </w:rPr>
      </w:pPr>
      <w:r>
        <w:rPr>
          <w:rFonts w:ascii="Times New Roman" w:hAnsi="Times New Roman"/>
          <w:b/>
          <w:sz w:val="24"/>
          <w:szCs w:val="24"/>
          <w:lang w:val="es-ES"/>
        </w:rPr>
        <w:t>Author contributions</w:t>
      </w:r>
    </w:p>
    <w:p w14:paraId="3D64B9DB" w14:textId="77777777" w:rsidR="001612D5" w:rsidRDefault="00000000">
      <w:pPr>
        <w:pStyle w:val="Prrafodelista"/>
        <w:spacing w:line="300" w:lineRule="atLeast"/>
        <w:ind w:firstLine="480"/>
        <w:rPr>
          <w:rFonts w:ascii="Times New Roman" w:hAnsi="Times New Roman"/>
          <w:b/>
          <w:sz w:val="24"/>
          <w:szCs w:val="24"/>
          <w:lang w:val="es-ES"/>
        </w:rPr>
      </w:pPr>
      <w:r>
        <w:rPr>
          <w:rFonts w:ascii="Times New Roman" w:hAnsi="Times New Roman"/>
          <w:bCs/>
          <w:sz w:val="24"/>
          <w:szCs w:val="24"/>
          <w:lang w:val="es-ES"/>
        </w:rPr>
        <w:t xml:space="preserve">Conceptualization, </w:t>
      </w:r>
      <w:r>
        <w:rPr>
          <w:rFonts w:ascii="Times New Roman" w:hAnsi="Times New Roman"/>
          <w:sz w:val="24"/>
          <w:szCs w:val="24"/>
          <w:lang w:val="es-ES"/>
        </w:rPr>
        <w:t>Jose Luis Calvo-Guirado, Francisco Martinez-Martinez</w:t>
      </w:r>
      <w:r>
        <w:rPr>
          <w:rFonts w:ascii="Times New Roman" w:hAnsi="Times New Roman"/>
          <w:bCs/>
          <w:sz w:val="24"/>
          <w:szCs w:val="24"/>
          <w:lang w:val="es-ES"/>
        </w:rPr>
        <w:t xml:space="preserve">; data curation </w:t>
      </w:r>
      <w:r>
        <w:rPr>
          <w:rFonts w:ascii="Times New Roman" w:hAnsi="Times New Roman"/>
          <w:sz w:val="24"/>
          <w:szCs w:val="24"/>
          <w:lang w:val="es-ES"/>
        </w:rPr>
        <w:t xml:space="preserve">Mari Carmen Gonzalez Escudero, Nuria Garcia Carrillo, </w:t>
      </w:r>
      <w:r>
        <w:rPr>
          <w:rFonts w:ascii="Times New Roman" w:hAnsi="Times New Roman"/>
          <w:bCs/>
          <w:sz w:val="24"/>
          <w:szCs w:val="24"/>
          <w:lang w:val="es-ES"/>
        </w:rPr>
        <w:t xml:space="preserve">formal analysis </w:t>
      </w:r>
      <w:r>
        <w:rPr>
          <w:rFonts w:ascii="Times New Roman" w:hAnsi="Times New Roman"/>
          <w:sz w:val="24"/>
          <w:szCs w:val="24"/>
          <w:lang w:val="es-ES"/>
        </w:rPr>
        <w:t>Felix de Carlos-Villafranca, Miguel Angel Garces-Villala</w:t>
      </w:r>
      <w:r>
        <w:rPr>
          <w:rFonts w:ascii="Times New Roman" w:hAnsi="Times New Roman"/>
          <w:bCs/>
          <w:sz w:val="24"/>
          <w:szCs w:val="24"/>
          <w:lang w:val="es-ES"/>
        </w:rPr>
        <w:t>,</w:t>
      </w:r>
      <w:r>
        <w:rPr>
          <w:rFonts w:ascii="Times New Roman" w:hAnsi="Times New Roman"/>
          <w:b/>
          <w:sz w:val="24"/>
          <w:szCs w:val="24"/>
          <w:lang w:val="es-ES"/>
        </w:rPr>
        <w:t xml:space="preserve"> </w:t>
      </w:r>
      <w:r>
        <w:rPr>
          <w:rFonts w:ascii="Times New Roman" w:hAnsi="Times New Roman"/>
          <w:bCs/>
          <w:sz w:val="24"/>
          <w:szCs w:val="24"/>
          <w:lang w:val="es-ES"/>
        </w:rPr>
        <w:t xml:space="preserve">funding acquisition, </w:t>
      </w:r>
      <w:r>
        <w:rPr>
          <w:rFonts w:ascii="Times New Roman" w:hAnsi="Times New Roman"/>
          <w:sz w:val="24"/>
          <w:szCs w:val="24"/>
          <w:lang w:val="es-ES"/>
        </w:rPr>
        <w:t>Jose Luis Calvo-Guirado, Francisco Martinez-Martinez</w:t>
      </w:r>
      <w:r>
        <w:rPr>
          <w:rFonts w:ascii="Times New Roman" w:hAnsi="Times New Roman"/>
          <w:bCs/>
          <w:sz w:val="24"/>
          <w:szCs w:val="24"/>
          <w:lang w:val="es-ES"/>
        </w:rPr>
        <w:t xml:space="preserve">; investigation </w:t>
      </w:r>
      <w:r>
        <w:rPr>
          <w:rFonts w:ascii="Times New Roman" w:hAnsi="Times New Roman"/>
          <w:sz w:val="24"/>
          <w:szCs w:val="24"/>
          <w:lang w:val="es-ES"/>
        </w:rPr>
        <w:t>Jose Luis Calvo-Guirado,</w:t>
      </w:r>
      <w:r>
        <w:rPr>
          <w:rFonts w:ascii="Times New Roman" w:hAnsi="Times New Roman"/>
          <w:sz w:val="24"/>
          <w:szCs w:val="24"/>
          <w:vertAlign w:val="subscript"/>
          <w:lang w:val="es-ES"/>
        </w:rPr>
        <w:t xml:space="preserve"> </w:t>
      </w:r>
      <w:r>
        <w:rPr>
          <w:rFonts w:ascii="Times New Roman" w:hAnsi="Times New Roman"/>
          <w:sz w:val="24"/>
          <w:szCs w:val="24"/>
          <w:lang w:val="es-ES"/>
        </w:rPr>
        <w:t>Mari Carmen González Escudero, Nuria Garcia Carrillo</w:t>
      </w:r>
      <w:r>
        <w:rPr>
          <w:rFonts w:ascii="Times New Roman" w:hAnsi="Times New Roman"/>
          <w:bCs/>
          <w:sz w:val="24"/>
          <w:szCs w:val="24"/>
          <w:lang w:val="es-ES"/>
        </w:rPr>
        <w:t>,</w:t>
      </w:r>
      <w:r>
        <w:rPr>
          <w:rFonts w:ascii="Times New Roman" w:hAnsi="Times New Roman"/>
          <w:b/>
          <w:sz w:val="24"/>
          <w:szCs w:val="24"/>
          <w:lang w:val="es-ES"/>
        </w:rPr>
        <w:t xml:space="preserve"> </w:t>
      </w:r>
      <w:r>
        <w:rPr>
          <w:rFonts w:ascii="Times New Roman" w:hAnsi="Times New Roman"/>
          <w:bCs/>
          <w:sz w:val="24"/>
          <w:szCs w:val="24"/>
          <w:lang w:val="es-ES"/>
        </w:rPr>
        <w:t xml:space="preserve">methodology, </w:t>
      </w:r>
      <w:r>
        <w:rPr>
          <w:rFonts w:ascii="Times New Roman" w:hAnsi="Times New Roman"/>
          <w:sz w:val="24"/>
          <w:szCs w:val="24"/>
          <w:lang w:val="es-ES"/>
        </w:rPr>
        <w:t>Francisco Martinez-Martínez, Felix de Carlos-Villafranca</w:t>
      </w:r>
      <w:r>
        <w:rPr>
          <w:rFonts w:ascii="Times New Roman" w:hAnsi="Times New Roman"/>
          <w:bCs/>
          <w:sz w:val="24"/>
          <w:szCs w:val="24"/>
          <w:lang w:val="es-ES"/>
        </w:rPr>
        <w:t>,</w:t>
      </w:r>
      <w:r>
        <w:rPr>
          <w:rFonts w:ascii="Times New Roman" w:hAnsi="Times New Roman"/>
          <w:b/>
          <w:sz w:val="24"/>
          <w:szCs w:val="24"/>
          <w:lang w:val="es-ES"/>
        </w:rPr>
        <w:t xml:space="preserve"> </w:t>
      </w:r>
      <w:r>
        <w:rPr>
          <w:rFonts w:ascii="Times New Roman" w:hAnsi="Times New Roman"/>
          <w:bCs/>
          <w:sz w:val="24"/>
          <w:szCs w:val="24"/>
          <w:lang w:val="es-ES"/>
        </w:rPr>
        <w:t xml:space="preserve">project administration </w:t>
      </w:r>
      <w:r>
        <w:rPr>
          <w:rFonts w:ascii="Times New Roman" w:hAnsi="Times New Roman"/>
          <w:sz w:val="24"/>
          <w:szCs w:val="24"/>
          <w:lang w:val="es-ES"/>
        </w:rPr>
        <w:t>Jose Luis Calvo-Guirado</w:t>
      </w:r>
      <w:r>
        <w:rPr>
          <w:rFonts w:ascii="Times New Roman" w:hAnsi="Times New Roman"/>
          <w:bCs/>
          <w:sz w:val="24"/>
          <w:szCs w:val="24"/>
          <w:lang w:val="es-ES"/>
        </w:rPr>
        <w:t>,</w:t>
      </w:r>
      <w:r>
        <w:rPr>
          <w:rFonts w:ascii="Times New Roman" w:hAnsi="Times New Roman"/>
          <w:b/>
          <w:sz w:val="24"/>
          <w:szCs w:val="24"/>
          <w:lang w:val="es-ES"/>
        </w:rPr>
        <w:t xml:space="preserve"> </w:t>
      </w:r>
      <w:r>
        <w:rPr>
          <w:rFonts w:ascii="Times New Roman" w:hAnsi="Times New Roman"/>
          <w:bCs/>
          <w:sz w:val="24"/>
          <w:szCs w:val="24"/>
          <w:lang w:val="es-ES"/>
        </w:rPr>
        <w:t xml:space="preserve">resources </w:t>
      </w:r>
      <w:r>
        <w:rPr>
          <w:rFonts w:ascii="Times New Roman" w:hAnsi="Times New Roman"/>
          <w:sz w:val="24"/>
          <w:szCs w:val="24"/>
          <w:lang w:val="es-ES"/>
        </w:rPr>
        <w:t xml:space="preserve">Francisco Martinez-Martinez; </w:t>
      </w:r>
      <w:r>
        <w:rPr>
          <w:rFonts w:ascii="Times New Roman" w:hAnsi="Times New Roman"/>
          <w:bCs/>
          <w:sz w:val="24"/>
          <w:szCs w:val="24"/>
          <w:lang w:val="es-ES"/>
        </w:rPr>
        <w:t xml:space="preserve">software, </w:t>
      </w:r>
      <w:r>
        <w:rPr>
          <w:rFonts w:ascii="Times New Roman" w:hAnsi="Times New Roman"/>
          <w:sz w:val="24"/>
          <w:szCs w:val="24"/>
          <w:lang w:val="es-ES"/>
        </w:rPr>
        <w:t>Felix de Carlos-Villafranca, Miguel Angel Garces-Villala</w:t>
      </w:r>
      <w:r>
        <w:rPr>
          <w:rFonts w:ascii="Times New Roman" w:hAnsi="Times New Roman"/>
          <w:bCs/>
          <w:sz w:val="24"/>
          <w:szCs w:val="24"/>
          <w:lang w:val="es-ES"/>
        </w:rPr>
        <w:t>,</w:t>
      </w:r>
      <w:r>
        <w:rPr>
          <w:rFonts w:ascii="Times New Roman" w:hAnsi="Times New Roman"/>
          <w:b/>
          <w:sz w:val="24"/>
          <w:szCs w:val="24"/>
          <w:lang w:val="es-ES"/>
        </w:rPr>
        <w:t xml:space="preserve"> </w:t>
      </w:r>
      <w:r>
        <w:rPr>
          <w:rFonts w:ascii="Times New Roman" w:hAnsi="Times New Roman"/>
          <w:bCs/>
          <w:sz w:val="24"/>
          <w:szCs w:val="24"/>
          <w:lang w:val="es-ES"/>
        </w:rPr>
        <w:t xml:space="preserve">supervision </w:t>
      </w:r>
      <w:r>
        <w:rPr>
          <w:rFonts w:ascii="Times New Roman" w:hAnsi="Times New Roman"/>
          <w:sz w:val="24"/>
          <w:szCs w:val="24"/>
          <w:lang w:val="es-ES"/>
        </w:rPr>
        <w:t>Jose Luis Calvo-Guirado, Francisco Martinez-Martinez</w:t>
      </w:r>
      <w:r>
        <w:rPr>
          <w:rFonts w:ascii="Times New Roman" w:hAnsi="Times New Roman"/>
          <w:bCs/>
          <w:sz w:val="24"/>
          <w:szCs w:val="24"/>
          <w:lang w:val="es-ES"/>
        </w:rPr>
        <w:t xml:space="preserve">; validation, </w:t>
      </w:r>
      <w:r>
        <w:rPr>
          <w:rFonts w:ascii="Times New Roman" w:hAnsi="Times New Roman"/>
          <w:sz w:val="24"/>
          <w:szCs w:val="24"/>
          <w:lang w:val="es-ES"/>
        </w:rPr>
        <w:t>Mari Carmen Gonzalez Escudero, Nuria Garcia Carrillo</w:t>
      </w:r>
      <w:r>
        <w:rPr>
          <w:rFonts w:ascii="Times New Roman" w:hAnsi="Times New Roman"/>
          <w:bCs/>
          <w:sz w:val="24"/>
          <w:szCs w:val="24"/>
          <w:lang w:val="es-ES"/>
        </w:rPr>
        <w:t>,</w:t>
      </w:r>
      <w:r>
        <w:rPr>
          <w:rFonts w:ascii="Times New Roman" w:hAnsi="Times New Roman"/>
          <w:b/>
          <w:sz w:val="24"/>
          <w:szCs w:val="24"/>
          <w:lang w:val="es-ES"/>
        </w:rPr>
        <w:t xml:space="preserve"> </w:t>
      </w:r>
      <w:r>
        <w:rPr>
          <w:rFonts w:ascii="Times New Roman" w:hAnsi="Times New Roman"/>
          <w:bCs/>
          <w:sz w:val="24"/>
          <w:szCs w:val="24"/>
          <w:lang w:val="es-ES"/>
        </w:rPr>
        <w:t xml:space="preserve">visualization </w:t>
      </w:r>
      <w:r>
        <w:rPr>
          <w:rFonts w:ascii="Times New Roman" w:hAnsi="Times New Roman"/>
          <w:sz w:val="24"/>
          <w:szCs w:val="24"/>
          <w:lang w:val="es-ES"/>
        </w:rPr>
        <w:t>Jose Luis Calvo-Guirado</w:t>
      </w:r>
      <w:r>
        <w:rPr>
          <w:rFonts w:ascii="Times New Roman" w:hAnsi="Times New Roman"/>
          <w:bCs/>
          <w:sz w:val="24"/>
          <w:szCs w:val="24"/>
          <w:lang w:val="es-ES"/>
        </w:rPr>
        <w:t xml:space="preserve">; writing-original draft preparation, </w:t>
      </w:r>
      <w:r>
        <w:rPr>
          <w:rFonts w:ascii="Times New Roman" w:hAnsi="Times New Roman"/>
          <w:sz w:val="24"/>
          <w:szCs w:val="24"/>
          <w:lang w:val="es-ES"/>
        </w:rPr>
        <w:t>Jose Luis Calvo-Guirado</w:t>
      </w:r>
      <w:r>
        <w:rPr>
          <w:rFonts w:ascii="Times New Roman" w:hAnsi="Times New Roman"/>
          <w:bCs/>
          <w:sz w:val="24"/>
          <w:szCs w:val="24"/>
          <w:lang w:val="es-ES"/>
        </w:rPr>
        <w:t xml:space="preserve">, </w:t>
      </w:r>
      <w:r>
        <w:rPr>
          <w:rFonts w:ascii="Times New Roman" w:hAnsi="Times New Roman"/>
          <w:sz w:val="24"/>
          <w:szCs w:val="24"/>
          <w:lang w:val="es-ES"/>
        </w:rPr>
        <w:t>Francisco Martinez-Martinez</w:t>
      </w:r>
      <w:r>
        <w:rPr>
          <w:rFonts w:ascii="Times New Roman" w:hAnsi="Times New Roman"/>
          <w:bCs/>
          <w:sz w:val="24"/>
          <w:szCs w:val="24"/>
          <w:lang w:val="es-ES"/>
        </w:rPr>
        <w:t xml:space="preserve">; writing-review and editing. </w:t>
      </w:r>
      <w:r>
        <w:rPr>
          <w:rFonts w:ascii="Times New Roman" w:hAnsi="Times New Roman"/>
          <w:sz w:val="24"/>
          <w:szCs w:val="24"/>
          <w:lang w:val="es-ES"/>
        </w:rPr>
        <w:t xml:space="preserve">Jose Luis Calvo-Guirado, Felix de Carlos-Villafranca, </w:t>
      </w:r>
      <w:r>
        <w:rPr>
          <w:rFonts w:ascii="Times New Roman" w:hAnsi="Times New Roman"/>
          <w:sz w:val="24"/>
          <w:szCs w:val="24"/>
          <w:lang w:val="es-ES"/>
        </w:rPr>
        <w:lastRenderedPageBreak/>
        <w:t>Nuria Garcia Carrillo, Francisco Martinez-Martinez</w:t>
      </w:r>
      <w:r>
        <w:rPr>
          <w:rFonts w:ascii="Times New Roman" w:hAnsi="Times New Roman"/>
          <w:bCs/>
          <w:sz w:val="24"/>
          <w:szCs w:val="24"/>
          <w:lang w:val="es-ES"/>
        </w:rPr>
        <w:t>; translations and final corrections; Lanka Mahesh, Juan Carlos Ibanez.</w:t>
      </w:r>
    </w:p>
    <w:p w14:paraId="5C3AE44B" w14:textId="77777777" w:rsidR="001612D5" w:rsidRDefault="00000000">
      <w:pPr>
        <w:pStyle w:val="Prrafodelista"/>
        <w:spacing w:beforeLines="100" w:before="312" w:afterLines="100" w:after="312" w:line="300" w:lineRule="atLeast"/>
        <w:ind w:firstLineChars="0" w:firstLine="0"/>
        <w:jc w:val="left"/>
        <w:rPr>
          <w:rFonts w:ascii="Times New Roman" w:hAnsi="Times New Roman"/>
          <w:b/>
          <w:sz w:val="24"/>
          <w:szCs w:val="24"/>
        </w:rPr>
      </w:pPr>
      <w:r>
        <w:rPr>
          <w:rFonts w:ascii="Times New Roman" w:hAnsi="Times New Roman"/>
          <w:b/>
          <w:sz w:val="24"/>
          <w:szCs w:val="24"/>
        </w:rPr>
        <w:t>References</w:t>
      </w:r>
    </w:p>
    <w:p w14:paraId="5A54F400" w14:textId="6A5001C9" w:rsidR="001612D5" w:rsidRDefault="00000000" w:rsidP="001647C5">
      <w:pPr>
        <w:pStyle w:val="Prrafodelista"/>
        <w:numPr>
          <w:ilvl w:val="0"/>
          <w:numId w:val="4"/>
        </w:numPr>
        <w:spacing w:line="300" w:lineRule="atLeast"/>
        <w:ind w:firstLineChars="0"/>
        <w:rPr>
          <w:rFonts w:ascii="Times New Roman" w:hAnsi="Times New Roman"/>
          <w:b/>
          <w:sz w:val="24"/>
          <w:szCs w:val="24"/>
        </w:rPr>
      </w:pPr>
      <w:proofErr w:type="spellStart"/>
      <w:r>
        <w:rPr>
          <w:rFonts w:ascii="Times New Roman" w:hAnsi="Times New Roman" w:hint="cs"/>
          <w:color w:val="212121"/>
          <w:sz w:val="24"/>
          <w:szCs w:val="24"/>
          <w:shd w:val="clear" w:color="auto" w:fill="FFFFFF"/>
        </w:rPr>
        <w:t>Ramezanzadehkoldeh</w:t>
      </w:r>
      <w:proofErr w:type="spellEnd"/>
      <w:r>
        <w:rPr>
          <w:rFonts w:ascii="Times New Roman" w:hAnsi="Times New Roman" w:hint="cs"/>
          <w:color w:val="212121"/>
          <w:sz w:val="24"/>
          <w:szCs w:val="24"/>
          <w:shd w:val="clear" w:color="auto" w:fill="FFFFFF"/>
        </w:rPr>
        <w:t xml:space="preserve"> M</w:t>
      </w:r>
      <w:r>
        <w:rPr>
          <w:rFonts w:ascii="Times New Roman" w:hAnsi="Times New Roman"/>
          <w:color w:val="212121"/>
          <w:sz w:val="24"/>
          <w:szCs w:val="24"/>
          <w:shd w:val="clear" w:color="auto" w:fill="FFFFFF"/>
        </w:rPr>
        <w:t xml:space="preserve"> and </w:t>
      </w:r>
      <w:proofErr w:type="spellStart"/>
      <w:r>
        <w:rPr>
          <w:rFonts w:ascii="Times New Roman" w:hAnsi="Times New Roman" w:hint="cs"/>
          <w:color w:val="212121"/>
          <w:sz w:val="24"/>
          <w:szCs w:val="24"/>
          <w:shd w:val="clear" w:color="auto" w:fill="FFFFFF"/>
        </w:rPr>
        <w:t>Skallerud</w:t>
      </w:r>
      <w:proofErr w:type="spellEnd"/>
      <w:r>
        <w:rPr>
          <w:rFonts w:ascii="Times New Roman" w:hAnsi="Times New Roman" w:hint="cs"/>
          <w:color w:val="212121"/>
          <w:sz w:val="24"/>
          <w:szCs w:val="24"/>
          <w:shd w:val="clear" w:color="auto" w:fill="FFFFFF"/>
        </w:rPr>
        <w:t xml:space="preserve"> BH </w:t>
      </w:r>
      <w:r>
        <w:rPr>
          <w:rFonts w:ascii="Times New Roman" w:hAnsi="Times New Roman"/>
          <w:color w:val="212121"/>
          <w:sz w:val="24"/>
          <w:szCs w:val="24"/>
          <w:shd w:val="clear" w:color="auto" w:fill="FFFFFF"/>
        </w:rPr>
        <w:t xml:space="preserve">(2017) </w:t>
      </w:r>
      <w:proofErr w:type="spellStart"/>
      <w:r>
        <w:rPr>
          <w:rFonts w:ascii="Times New Roman" w:hAnsi="Times New Roman" w:hint="cs"/>
          <w:color w:val="212121"/>
          <w:sz w:val="24"/>
          <w:szCs w:val="24"/>
          <w:shd w:val="clear" w:color="auto" w:fill="FFFFFF"/>
        </w:rPr>
        <w:t>MicroCT</w:t>
      </w:r>
      <w:proofErr w:type="spellEnd"/>
      <w:r>
        <w:rPr>
          <w:rFonts w:ascii="Times New Roman" w:hAnsi="Times New Roman" w:hint="cs"/>
          <w:color w:val="212121"/>
          <w:sz w:val="24"/>
          <w:szCs w:val="24"/>
          <w:shd w:val="clear" w:color="auto" w:fill="FFFFFF"/>
        </w:rPr>
        <w:t xml:space="preserve">-based finite element models as a tool for virtual testing of cortical bone. </w:t>
      </w:r>
      <w:r>
        <w:rPr>
          <w:rFonts w:ascii="Times New Roman" w:hAnsi="Times New Roman" w:hint="cs"/>
          <w:i/>
          <w:iCs/>
          <w:color w:val="212121"/>
          <w:sz w:val="24"/>
          <w:szCs w:val="24"/>
          <w:shd w:val="clear" w:color="auto" w:fill="FFFFFF"/>
        </w:rPr>
        <w:t xml:space="preserve">Med </w:t>
      </w:r>
      <w:proofErr w:type="spellStart"/>
      <w:r>
        <w:rPr>
          <w:rFonts w:ascii="Times New Roman" w:hAnsi="Times New Roman" w:hint="cs"/>
          <w:i/>
          <w:iCs/>
          <w:color w:val="212121"/>
          <w:sz w:val="24"/>
          <w:szCs w:val="24"/>
          <w:shd w:val="clear" w:color="auto" w:fill="FFFFFF"/>
        </w:rPr>
        <w:t>Eng</w:t>
      </w:r>
      <w:proofErr w:type="spellEnd"/>
      <w:r>
        <w:rPr>
          <w:rFonts w:ascii="Times New Roman" w:hAnsi="Times New Roman" w:hint="cs"/>
          <w:i/>
          <w:iCs/>
          <w:color w:val="212121"/>
          <w:sz w:val="24"/>
          <w:szCs w:val="24"/>
          <w:shd w:val="clear" w:color="auto" w:fill="FFFFFF"/>
        </w:rPr>
        <w:t xml:space="preserve"> Phys</w:t>
      </w:r>
      <w:r>
        <w:rPr>
          <w:rFonts w:ascii="Times New Roman" w:hAnsi="Times New Roman" w:hint="cs"/>
          <w:color w:val="212121"/>
          <w:sz w:val="24"/>
          <w:szCs w:val="24"/>
          <w:shd w:val="clear" w:color="auto" w:fill="FFFFFF"/>
        </w:rPr>
        <w:t xml:space="preserve"> 46:</w:t>
      </w:r>
      <w:r>
        <w:rPr>
          <w:rFonts w:ascii="Times New Roman" w:hAnsi="Times New Roman"/>
          <w:color w:val="212121"/>
          <w:sz w:val="24"/>
          <w:szCs w:val="24"/>
          <w:shd w:val="clear" w:color="auto" w:fill="FFFFFF"/>
        </w:rPr>
        <w:t xml:space="preserve"> </w:t>
      </w:r>
      <w:r>
        <w:rPr>
          <w:rFonts w:ascii="Times New Roman" w:hAnsi="Times New Roman" w:hint="cs"/>
          <w:color w:val="212121"/>
          <w:sz w:val="24"/>
          <w:szCs w:val="24"/>
          <w:shd w:val="clear" w:color="auto" w:fill="FFFFFF"/>
        </w:rPr>
        <w:t>12</w:t>
      </w:r>
      <w:r>
        <w:rPr>
          <w:rFonts w:ascii="Times New Roman" w:hAnsi="Times New Roman"/>
          <w:color w:val="212121"/>
          <w:sz w:val="24"/>
          <w:szCs w:val="24"/>
          <w:shd w:val="clear" w:color="auto" w:fill="FFFFFF"/>
        </w:rPr>
        <w:t>–</w:t>
      </w:r>
      <w:r>
        <w:rPr>
          <w:rFonts w:ascii="Times New Roman" w:hAnsi="Times New Roman" w:hint="cs"/>
          <w:color w:val="212121"/>
          <w:sz w:val="24"/>
          <w:szCs w:val="24"/>
          <w:shd w:val="clear" w:color="auto" w:fill="FFFFFF"/>
        </w:rPr>
        <w:t>20.</w:t>
      </w:r>
      <w:r w:rsidR="002B3755">
        <w:rPr>
          <w:rFonts w:ascii="Times New Roman" w:hAnsi="Times New Roman"/>
          <w:color w:val="212121"/>
          <w:sz w:val="24"/>
          <w:szCs w:val="24"/>
          <w:shd w:val="clear" w:color="auto" w:fill="FFFFFF"/>
        </w:rPr>
        <w:t xml:space="preserve"> </w:t>
      </w:r>
      <w:r w:rsidR="002B3755" w:rsidRPr="002B3755">
        <w:rPr>
          <w:rFonts w:ascii="Times New Roman" w:hAnsi="Times New Roman"/>
          <w:color w:val="212121"/>
          <w:sz w:val="24"/>
          <w:szCs w:val="24"/>
          <w:shd w:val="clear" w:color="auto" w:fill="FFFFFF"/>
        </w:rPr>
        <w:t>https://doi.org/10.1016/j.medengphy.2017.04.011</w:t>
      </w:r>
    </w:p>
    <w:p w14:paraId="08218D47" w14:textId="203AA058" w:rsidR="001612D5" w:rsidRDefault="00000000" w:rsidP="001647C5">
      <w:pPr>
        <w:pStyle w:val="Prrafodelista"/>
        <w:numPr>
          <w:ilvl w:val="0"/>
          <w:numId w:val="4"/>
        </w:numPr>
        <w:spacing w:line="300" w:lineRule="atLeast"/>
        <w:ind w:firstLineChars="0"/>
        <w:rPr>
          <w:rFonts w:ascii="Times New Roman" w:hAnsi="Times New Roman"/>
          <w:bCs/>
          <w:sz w:val="24"/>
          <w:szCs w:val="24"/>
        </w:rPr>
      </w:pPr>
      <w:r>
        <w:rPr>
          <w:rFonts w:ascii="Times New Roman" w:hAnsi="Times New Roman"/>
          <w:bCs/>
          <w:sz w:val="24"/>
          <w:szCs w:val="24"/>
        </w:rPr>
        <w:t xml:space="preserve">Cox TC (2020) Microcomputed tomography of craniofacial mineralized tissue: a practical user’s guide to study planning and generating quality data. </w:t>
      </w:r>
      <w:r>
        <w:rPr>
          <w:rFonts w:ascii="Times New Roman" w:hAnsi="Times New Roman"/>
          <w:bCs/>
          <w:i/>
          <w:iCs/>
          <w:sz w:val="24"/>
          <w:szCs w:val="24"/>
        </w:rPr>
        <w:t>Bone</w:t>
      </w:r>
      <w:r>
        <w:rPr>
          <w:rFonts w:ascii="Times New Roman" w:hAnsi="Times New Roman"/>
          <w:bCs/>
          <w:sz w:val="24"/>
          <w:szCs w:val="24"/>
        </w:rPr>
        <w:t xml:space="preserve"> 137: 115408.</w:t>
      </w:r>
      <w:r w:rsidR="002B3755">
        <w:rPr>
          <w:rFonts w:ascii="Times New Roman" w:hAnsi="Times New Roman"/>
          <w:bCs/>
          <w:sz w:val="24"/>
          <w:szCs w:val="24"/>
        </w:rPr>
        <w:t xml:space="preserve"> </w:t>
      </w:r>
      <w:r w:rsidR="002B3755" w:rsidRPr="002B3755">
        <w:rPr>
          <w:rFonts w:ascii="Times New Roman" w:hAnsi="Times New Roman"/>
          <w:bCs/>
          <w:sz w:val="24"/>
          <w:szCs w:val="24"/>
        </w:rPr>
        <w:t>https://doi.org/10.1016/j.bone.2020.115408</w:t>
      </w:r>
    </w:p>
    <w:p w14:paraId="0A359824" w14:textId="0426034C" w:rsidR="001612D5" w:rsidRDefault="00000000" w:rsidP="001647C5">
      <w:pPr>
        <w:pStyle w:val="Prrafodelista"/>
        <w:numPr>
          <w:ilvl w:val="0"/>
          <w:numId w:val="4"/>
        </w:numPr>
        <w:spacing w:line="300" w:lineRule="atLeast"/>
        <w:ind w:firstLineChars="0"/>
        <w:rPr>
          <w:rFonts w:ascii="Times New Roman" w:hAnsi="Times New Roman"/>
          <w:color w:val="212121"/>
          <w:sz w:val="24"/>
          <w:szCs w:val="24"/>
          <w:shd w:val="clear" w:color="auto" w:fill="FFFFFF"/>
        </w:rPr>
      </w:pPr>
      <w:r>
        <w:rPr>
          <w:rFonts w:ascii="Times New Roman" w:hAnsi="Times New Roman" w:hint="cs"/>
          <w:color w:val="212121"/>
          <w:sz w:val="24"/>
          <w:szCs w:val="24"/>
          <w:shd w:val="clear" w:color="auto" w:fill="FFFFFF"/>
        </w:rPr>
        <w:t>Clark DP</w:t>
      </w:r>
      <w:r>
        <w:rPr>
          <w:rFonts w:ascii="Times New Roman" w:hAnsi="Times New Roman"/>
          <w:color w:val="212121"/>
          <w:sz w:val="24"/>
          <w:szCs w:val="24"/>
          <w:shd w:val="clear" w:color="auto" w:fill="FFFFFF"/>
        </w:rPr>
        <w:t xml:space="preserve"> and </w:t>
      </w:r>
      <w:proofErr w:type="spellStart"/>
      <w:r>
        <w:rPr>
          <w:rFonts w:ascii="Times New Roman" w:hAnsi="Times New Roman" w:hint="cs"/>
          <w:color w:val="212121"/>
          <w:sz w:val="24"/>
          <w:szCs w:val="24"/>
          <w:shd w:val="clear" w:color="auto" w:fill="FFFFFF"/>
        </w:rPr>
        <w:t>Badea</w:t>
      </w:r>
      <w:proofErr w:type="spellEnd"/>
      <w:r>
        <w:rPr>
          <w:rFonts w:ascii="Times New Roman" w:hAnsi="Times New Roman" w:hint="cs"/>
          <w:color w:val="212121"/>
          <w:sz w:val="24"/>
          <w:szCs w:val="24"/>
          <w:shd w:val="clear" w:color="auto" w:fill="FFFFFF"/>
        </w:rPr>
        <w:t xml:space="preserve"> CT </w:t>
      </w:r>
      <w:r>
        <w:rPr>
          <w:rFonts w:ascii="Times New Roman" w:hAnsi="Times New Roman"/>
          <w:color w:val="212121"/>
          <w:sz w:val="24"/>
          <w:szCs w:val="24"/>
          <w:shd w:val="clear" w:color="auto" w:fill="FFFFFF"/>
        </w:rPr>
        <w:t xml:space="preserve">(2021) </w:t>
      </w:r>
      <w:r>
        <w:rPr>
          <w:rFonts w:ascii="Times New Roman" w:hAnsi="Times New Roman" w:hint="cs"/>
          <w:color w:val="212121"/>
          <w:sz w:val="24"/>
          <w:szCs w:val="24"/>
          <w:shd w:val="clear" w:color="auto" w:fill="FFFFFF"/>
        </w:rPr>
        <w:t xml:space="preserve">Advances in micro-CT imaging of small animals. </w:t>
      </w:r>
      <w:r>
        <w:rPr>
          <w:rFonts w:ascii="Times New Roman" w:hAnsi="Times New Roman" w:hint="cs"/>
          <w:i/>
          <w:iCs/>
          <w:color w:val="212121"/>
          <w:sz w:val="24"/>
          <w:szCs w:val="24"/>
          <w:shd w:val="clear" w:color="auto" w:fill="FFFFFF"/>
        </w:rPr>
        <w:t xml:space="preserve">Phys </w:t>
      </w:r>
      <w:r>
        <w:rPr>
          <w:rFonts w:ascii="Times New Roman" w:hAnsi="Times New Roman"/>
          <w:i/>
          <w:iCs/>
          <w:color w:val="212121"/>
          <w:sz w:val="24"/>
          <w:szCs w:val="24"/>
          <w:shd w:val="clear" w:color="auto" w:fill="FFFFFF"/>
        </w:rPr>
        <w:t xml:space="preserve">     </w:t>
      </w:r>
      <w:r>
        <w:rPr>
          <w:rFonts w:ascii="Times New Roman" w:hAnsi="Times New Roman" w:hint="cs"/>
          <w:i/>
          <w:iCs/>
          <w:color w:val="212121"/>
          <w:sz w:val="24"/>
          <w:szCs w:val="24"/>
          <w:shd w:val="clear" w:color="auto" w:fill="FFFFFF"/>
        </w:rPr>
        <w:t>Med</w:t>
      </w:r>
      <w:r>
        <w:rPr>
          <w:rFonts w:ascii="Times New Roman" w:hAnsi="Times New Roman" w:hint="cs"/>
          <w:color w:val="212121"/>
          <w:sz w:val="24"/>
          <w:szCs w:val="24"/>
          <w:shd w:val="clear" w:color="auto" w:fill="FFFFFF"/>
        </w:rPr>
        <w:t xml:space="preserve"> 88:</w:t>
      </w:r>
      <w:r>
        <w:rPr>
          <w:rFonts w:ascii="Times New Roman" w:hAnsi="Times New Roman"/>
          <w:color w:val="212121"/>
          <w:sz w:val="24"/>
          <w:szCs w:val="24"/>
          <w:shd w:val="clear" w:color="auto" w:fill="FFFFFF"/>
        </w:rPr>
        <w:t xml:space="preserve"> </w:t>
      </w:r>
      <w:r>
        <w:rPr>
          <w:rFonts w:ascii="Times New Roman" w:hAnsi="Times New Roman" w:hint="cs"/>
          <w:color w:val="212121"/>
          <w:sz w:val="24"/>
          <w:szCs w:val="24"/>
          <w:shd w:val="clear" w:color="auto" w:fill="FFFFFF"/>
        </w:rPr>
        <w:t>175</w:t>
      </w:r>
      <w:r>
        <w:rPr>
          <w:rFonts w:ascii="Times New Roman" w:hAnsi="Times New Roman"/>
          <w:color w:val="212121"/>
          <w:sz w:val="24"/>
          <w:szCs w:val="24"/>
          <w:shd w:val="clear" w:color="auto" w:fill="FFFFFF"/>
        </w:rPr>
        <w:t>–</w:t>
      </w:r>
      <w:r>
        <w:rPr>
          <w:rFonts w:ascii="Times New Roman" w:hAnsi="Times New Roman" w:hint="cs"/>
          <w:color w:val="212121"/>
          <w:sz w:val="24"/>
          <w:szCs w:val="24"/>
          <w:shd w:val="clear" w:color="auto" w:fill="FFFFFF"/>
        </w:rPr>
        <w:t>192.</w:t>
      </w:r>
      <w:r w:rsidR="002B3755">
        <w:rPr>
          <w:rFonts w:ascii="Times New Roman" w:hAnsi="Times New Roman"/>
          <w:color w:val="212121"/>
          <w:sz w:val="24"/>
          <w:szCs w:val="24"/>
          <w:shd w:val="clear" w:color="auto" w:fill="FFFFFF"/>
        </w:rPr>
        <w:t xml:space="preserve"> </w:t>
      </w:r>
      <w:r w:rsidR="002B3755" w:rsidRPr="002B3755">
        <w:rPr>
          <w:rFonts w:ascii="Times New Roman" w:hAnsi="Times New Roman"/>
          <w:color w:val="212121"/>
          <w:sz w:val="24"/>
          <w:szCs w:val="24"/>
          <w:shd w:val="clear" w:color="auto" w:fill="FFFFFF"/>
        </w:rPr>
        <w:t>https://doi.org/10.1016/j.ejmp.2021.07.005</w:t>
      </w:r>
    </w:p>
    <w:p w14:paraId="451A4B29" w14:textId="41593E58" w:rsidR="001612D5" w:rsidRDefault="00000000" w:rsidP="001647C5">
      <w:pPr>
        <w:pStyle w:val="Prrafodelista"/>
        <w:numPr>
          <w:ilvl w:val="0"/>
          <w:numId w:val="4"/>
        </w:numPr>
        <w:spacing w:line="300" w:lineRule="atLeast"/>
        <w:ind w:firstLineChars="0"/>
        <w:rPr>
          <w:rFonts w:ascii="Times New Roman" w:hAnsi="Times New Roman"/>
          <w:sz w:val="24"/>
          <w:szCs w:val="24"/>
        </w:rPr>
      </w:pPr>
      <w:proofErr w:type="spellStart"/>
      <w:r>
        <w:rPr>
          <w:rFonts w:ascii="Times New Roman" w:hAnsi="Times New Roman"/>
          <w:sz w:val="24"/>
          <w:szCs w:val="24"/>
        </w:rPr>
        <w:t>Ormianer</w:t>
      </w:r>
      <w:proofErr w:type="spellEnd"/>
      <w:r>
        <w:rPr>
          <w:rFonts w:ascii="Times New Roman" w:hAnsi="Times New Roman"/>
          <w:sz w:val="24"/>
          <w:szCs w:val="24"/>
        </w:rPr>
        <w:t xml:space="preserve"> Z, </w:t>
      </w:r>
      <w:proofErr w:type="spellStart"/>
      <w:r>
        <w:rPr>
          <w:rFonts w:ascii="Times New Roman" w:hAnsi="Times New Roman"/>
          <w:sz w:val="24"/>
          <w:szCs w:val="24"/>
        </w:rPr>
        <w:t>Matalon</w:t>
      </w:r>
      <w:proofErr w:type="spellEnd"/>
      <w:r>
        <w:rPr>
          <w:rFonts w:ascii="Times New Roman" w:hAnsi="Times New Roman"/>
          <w:sz w:val="24"/>
          <w:szCs w:val="24"/>
        </w:rPr>
        <w:t xml:space="preserve"> S, Block J, </w:t>
      </w:r>
      <w:r>
        <w:rPr>
          <w:rFonts w:ascii="Times New Roman" w:hAnsi="Times New Roman" w:hint="eastAsia"/>
          <w:sz w:val="24"/>
          <w:szCs w:val="24"/>
        </w:rPr>
        <w:t>et al.</w:t>
      </w:r>
      <w:r>
        <w:rPr>
          <w:rFonts w:ascii="Times New Roman" w:hAnsi="Times New Roman"/>
          <w:sz w:val="24"/>
          <w:szCs w:val="24"/>
        </w:rPr>
        <w:t xml:space="preserve"> (2016)</w:t>
      </w:r>
      <w:r>
        <w:rPr>
          <w:rFonts w:ascii="Times New Roman" w:hAnsi="Times New Roman" w:hint="eastAsia"/>
          <w:sz w:val="24"/>
          <w:szCs w:val="24"/>
        </w:rPr>
        <w:t xml:space="preserve"> </w:t>
      </w:r>
      <w:r>
        <w:rPr>
          <w:rFonts w:ascii="Times New Roman" w:hAnsi="Times New Roman"/>
          <w:sz w:val="24"/>
          <w:szCs w:val="24"/>
        </w:rPr>
        <w:t xml:space="preserve">Dental </w:t>
      </w:r>
      <w:r>
        <w:rPr>
          <w:rFonts w:ascii="Times New Roman" w:hAnsi="Times New Roman" w:hint="eastAsia"/>
          <w:sz w:val="24"/>
          <w:szCs w:val="24"/>
        </w:rPr>
        <w:t>i</w:t>
      </w:r>
      <w:r>
        <w:rPr>
          <w:rFonts w:ascii="Times New Roman" w:hAnsi="Times New Roman"/>
          <w:sz w:val="24"/>
          <w:szCs w:val="24"/>
        </w:rPr>
        <w:t xml:space="preserve">mplant thread design and the consequences on long-term marginal bone loss. </w:t>
      </w:r>
      <w:r>
        <w:rPr>
          <w:rFonts w:ascii="Times New Roman" w:hAnsi="Times New Roman"/>
          <w:i/>
          <w:iCs/>
          <w:sz w:val="24"/>
          <w:szCs w:val="24"/>
        </w:rPr>
        <w:t>Implant Dent</w:t>
      </w:r>
      <w:r>
        <w:rPr>
          <w:rFonts w:ascii="Times New Roman" w:hAnsi="Times New Roman"/>
          <w:sz w:val="24"/>
          <w:szCs w:val="24"/>
        </w:rPr>
        <w:t xml:space="preserve"> 25: 471–477.</w:t>
      </w:r>
      <w:r w:rsidR="002B3755">
        <w:rPr>
          <w:rFonts w:ascii="Times New Roman" w:hAnsi="Times New Roman"/>
          <w:sz w:val="24"/>
          <w:szCs w:val="24"/>
        </w:rPr>
        <w:t xml:space="preserve"> </w:t>
      </w:r>
      <w:r w:rsidR="002B3755" w:rsidRPr="002B3755">
        <w:rPr>
          <w:rFonts w:ascii="Times New Roman" w:hAnsi="Times New Roman"/>
          <w:color w:val="212121"/>
          <w:sz w:val="24"/>
          <w:szCs w:val="24"/>
          <w:shd w:val="clear" w:color="auto" w:fill="FFFFFF"/>
        </w:rPr>
        <w:t>https://doi.org/</w:t>
      </w:r>
      <w:r w:rsidR="002B3755" w:rsidRPr="002B3755">
        <w:rPr>
          <w:rFonts w:ascii="Times New Roman" w:hAnsi="Times New Roman"/>
          <w:sz w:val="24"/>
          <w:szCs w:val="24"/>
        </w:rPr>
        <w:t>10.1097/ID.0000000000000441</w:t>
      </w:r>
    </w:p>
    <w:p w14:paraId="1CC23292" w14:textId="17B9979A" w:rsidR="001612D5" w:rsidRDefault="00000000" w:rsidP="001647C5">
      <w:pPr>
        <w:pStyle w:val="Prrafodelista"/>
        <w:numPr>
          <w:ilvl w:val="0"/>
          <w:numId w:val="4"/>
        </w:numPr>
        <w:spacing w:line="300" w:lineRule="atLeast"/>
        <w:ind w:firstLineChars="0"/>
        <w:rPr>
          <w:rFonts w:ascii="Times New Roman" w:hAnsi="Times New Roman"/>
          <w:sz w:val="24"/>
          <w:szCs w:val="24"/>
        </w:rPr>
      </w:pPr>
      <w:proofErr w:type="spellStart"/>
      <w:r>
        <w:rPr>
          <w:rFonts w:ascii="Times New Roman" w:hAnsi="Times New Roman"/>
          <w:sz w:val="24"/>
          <w:szCs w:val="24"/>
        </w:rPr>
        <w:t>Abuhussein</w:t>
      </w:r>
      <w:proofErr w:type="spellEnd"/>
      <w:r>
        <w:rPr>
          <w:rFonts w:ascii="Times New Roman" w:hAnsi="Times New Roman"/>
          <w:sz w:val="24"/>
          <w:szCs w:val="24"/>
        </w:rPr>
        <w:t xml:space="preserve"> H, </w:t>
      </w:r>
      <w:proofErr w:type="spellStart"/>
      <w:r>
        <w:rPr>
          <w:rFonts w:ascii="Times New Roman" w:hAnsi="Times New Roman"/>
          <w:sz w:val="24"/>
          <w:szCs w:val="24"/>
        </w:rPr>
        <w:t>Pagni</w:t>
      </w:r>
      <w:proofErr w:type="spellEnd"/>
      <w:r>
        <w:rPr>
          <w:rFonts w:ascii="Times New Roman" w:hAnsi="Times New Roman"/>
          <w:sz w:val="24"/>
          <w:szCs w:val="24"/>
        </w:rPr>
        <w:t xml:space="preserve"> G, </w:t>
      </w:r>
      <w:proofErr w:type="spellStart"/>
      <w:r>
        <w:rPr>
          <w:rFonts w:ascii="Times New Roman" w:hAnsi="Times New Roman"/>
          <w:sz w:val="24"/>
          <w:szCs w:val="24"/>
        </w:rPr>
        <w:t>Rebaudi</w:t>
      </w:r>
      <w:proofErr w:type="spellEnd"/>
      <w:r>
        <w:rPr>
          <w:rFonts w:ascii="Times New Roman" w:hAnsi="Times New Roman"/>
          <w:sz w:val="24"/>
          <w:szCs w:val="24"/>
        </w:rPr>
        <w:t xml:space="preserve"> A, et al. (2010) The effect of thread pattern upon implant osseointegration. </w:t>
      </w:r>
      <w:r>
        <w:rPr>
          <w:rFonts w:ascii="Times New Roman" w:hAnsi="Times New Roman"/>
          <w:i/>
          <w:iCs/>
          <w:sz w:val="24"/>
          <w:szCs w:val="24"/>
        </w:rPr>
        <w:t>Clin Oral Implants Res</w:t>
      </w:r>
      <w:r>
        <w:rPr>
          <w:rFonts w:ascii="Times New Roman" w:hAnsi="Times New Roman"/>
          <w:sz w:val="24"/>
          <w:szCs w:val="24"/>
        </w:rPr>
        <w:t xml:space="preserve"> 21: 129–136.</w:t>
      </w:r>
      <w:r w:rsidR="002B3755">
        <w:rPr>
          <w:rFonts w:ascii="Times New Roman" w:hAnsi="Times New Roman"/>
          <w:sz w:val="24"/>
          <w:szCs w:val="24"/>
        </w:rPr>
        <w:t xml:space="preserve"> </w:t>
      </w:r>
      <w:r w:rsidR="002B3755" w:rsidRPr="002B3755">
        <w:rPr>
          <w:rFonts w:ascii="Times New Roman" w:hAnsi="Times New Roman"/>
          <w:sz w:val="24"/>
          <w:szCs w:val="24"/>
        </w:rPr>
        <w:t>https://doi.org/10.1111/</w:t>
      </w:r>
      <w:r w:rsidR="002B3755">
        <w:rPr>
          <w:rFonts w:ascii="Times New Roman" w:hAnsi="Times New Roman"/>
          <w:sz w:val="24"/>
          <w:szCs w:val="24"/>
        </w:rPr>
        <w:t xml:space="preserve">          </w:t>
      </w:r>
      <w:r w:rsidR="002B3755" w:rsidRPr="002B3755">
        <w:rPr>
          <w:rFonts w:ascii="Times New Roman" w:hAnsi="Times New Roman"/>
          <w:sz w:val="24"/>
          <w:szCs w:val="24"/>
        </w:rPr>
        <w:t>j.1600-0501.</w:t>
      </w:r>
      <w:proofErr w:type="gramStart"/>
      <w:r w:rsidR="002B3755" w:rsidRPr="002B3755">
        <w:rPr>
          <w:rFonts w:ascii="Times New Roman" w:hAnsi="Times New Roman"/>
          <w:sz w:val="24"/>
          <w:szCs w:val="24"/>
        </w:rPr>
        <w:t>2009.01800.x</w:t>
      </w:r>
      <w:proofErr w:type="gramEnd"/>
    </w:p>
    <w:p w14:paraId="611ADA3D" w14:textId="45F9BC6C" w:rsidR="001612D5" w:rsidRDefault="00000000" w:rsidP="001647C5">
      <w:pPr>
        <w:pStyle w:val="Prrafodelista"/>
        <w:numPr>
          <w:ilvl w:val="0"/>
          <w:numId w:val="4"/>
        </w:numPr>
        <w:spacing w:line="300" w:lineRule="atLeast"/>
        <w:ind w:firstLineChars="0"/>
        <w:rPr>
          <w:rFonts w:ascii="Times New Roman" w:hAnsi="Times New Roman"/>
          <w:sz w:val="24"/>
          <w:szCs w:val="24"/>
          <w:lang w:val="es-ES"/>
        </w:rPr>
      </w:pPr>
      <w:r>
        <w:rPr>
          <w:rFonts w:ascii="Times New Roman" w:hAnsi="Times New Roman"/>
          <w:sz w:val="24"/>
          <w:szCs w:val="24"/>
        </w:rPr>
        <w:t>El-</w:t>
      </w:r>
      <w:proofErr w:type="spellStart"/>
      <w:r>
        <w:rPr>
          <w:rFonts w:ascii="Times New Roman" w:hAnsi="Times New Roman"/>
          <w:sz w:val="24"/>
          <w:szCs w:val="24"/>
        </w:rPr>
        <w:t>Gammal</w:t>
      </w:r>
      <w:proofErr w:type="spellEnd"/>
      <w:r>
        <w:rPr>
          <w:rFonts w:ascii="Times New Roman" w:hAnsi="Times New Roman"/>
          <w:sz w:val="24"/>
          <w:szCs w:val="24"/>
        </w:rPr>
        <w:t xml:space="preserve"> M, </w:t>
      </w:r>
      <w:proofErr w:type="spellStart"/>
      <w:r>
        <w:rPr>
          <w:rFonts w:ascii="Times New Roman" w:hAnsi="Times New Roman"/>
          <w:sz w:val="24"/>
          <w:szCs w:val="24"/>
        </w:rPr>
        <w:t>Ghoneem</w:t>
      </w:r>
      <w:proofErr w:type="spellEnd"/>
      <w:r>
        <w:rPr>
          <w:rFonts w:ascii="Times New Roman" w:hAnsi="Times New Roman"/>
          <w:sz w:val="24"/>
          <w:szCs w:val="24"/>
        </w:rPr>
        <w:t xml:space="preserve"> N, Tawfik H, et al. (2014) Early-loaded laser-sintered versus acid-etched one-piece dental implants for mandibular premolars replacement: a preliminary study. </w:t>
      </w:r>
      <w:r>
        <w:rPr>
          <w:rFonts w:ascii="Times New Roman" w:hAnsi="Times New Roman"/>
          <w:i/>
          <w:iCs/>
          <w:sz w:val="24"/>
          <w:szCs w:val="24"/>
          <w:lang w:val="es-ES"/>
        </w:rPr>
        <w:t>Implant Dent</w:t>
      </w:r>
      <w:r>
        <w:rPr>
          <w:rFonts w:ascii="Times New Roman" w:hAnsi="Times New Roman"/>
          <w:sz w:val="24"/>
          <w:szCs w:val="24"/>
          <w:lang w:val="es-ES"/>
        </w:rPr>
        <w:t xml:space="preserve"> 23: 565–569.</w:t>
      </w:r>
      <w:r w:rsidR="00127356">
        <w:rPr>
          <w:rFonts w:ascii="Times New Roman" w:hAnsi="Times New Roman"/>
          <w:sz w:val="24"/>
          <w:szCs w:val="24"/>
          <w:lang w:val="es-ES"/>
        </w:rPr>
        <w:t xml:space="preserve"> </w:t>
      </w:r>
      <w:bookmarkStart w:id="0" w:name="OLE_LINK3"/>
      <w:r w:rsidR="00127356" w:rsidRPr="002B3755">
        <w:rPr>
          <w:rFonts w:ascii="Times New Roman" w:hAnsi="Times New Roman"/>
          <w:color w:val="212121"/>
          <w:sz w:val="24"/>
          <w:szCs w:val="24"/>
          <w:shd w:val="clear" w:color="auto" w:fill="FFFFFF"/>
        </w:rPr>
        <w:t>https://doi.org/</w:t>
      </w:r>
      <w:bookmarkEnd w:id="0"/>
      <w:r w:rsidR="00127356" w:rsidRPr="00127356">
        <w:rPr>
          <w:rFonts w:ascii="Times New Roman" w:hAnsi="Times New Roman"/>
          <w:sz w:val="24"/>
          <w:szCs w:val="24"/>
          <w:lang w:val="es-ES"/>
        </w:rPr>
        <w:t>10.1097/ID.0000000000000133</w:t>
      </w:r>
    </w:p>
    <w:p w14:paraId="5E332FC6" w14:textId="18BE4E08" w:rsidR="001612D5" w:rsidRDefault="00000000" w:rsidP="001647C5">
      <w:pPr>
        <w:pStyle w:val="Prrafodelista"/>
        <w:numPr>
          <w:ilvl w:val="0"/>
          <w:numId w:val="4"/>
        </w:numPr>
        <w:spacing w:line="300" w:lineRule="atLeast"/>
        <w:ind w:firstLineChars="0"/>
        <w:rPr>
          <w:rFonts w:ascii="Times New Roman" w:hAnsi="Times New Roman"/>
          <w:sz w:val="24"/>
          <w:szCs w:val="24"/>
          <w:lang w:val="es-ES"/>
        </w:rPr>
      </w:pPr>
      <w:r>
        <w:rPr>
          <w:rFonts w:ascii="Times New Roman" w:hAnsi="Times New Roman"/>
          <w:sz w:val="24"/>
          <w:szCs w:val="24"/>
          <w:lang w:val="es-ES"/>
        </w:rPr>
        <w:t xml:space="preserve">Valles C, Rodriguez-Ciurana X, Clementini M, et al. </w:t>
      </w:r>
      <w:r>
        <w:rPr>
          <w:rFonts w:ascii="Times New Roman" w:hAnsi="Times New Roman"/>
          <w:sz w:val="24"/>
          <w:szCs w:val="24"/>
        </w:rPr>
        <w:t xml:space="preserve">(2018) Influence of </w:t>
      </w:r>
      <w:proofErr w:type="spellStart"/>
      <w:r>
        <w:rPr>
          <w:rFonts w:ascii="Times New Roman" w:hAnsi="Times New Roman"/>
          <w:sz w:val="24"/>
          <w:szCs w:val="24"/>
        </w:rPr>
        <w:t>subcrestal</w:t>
      </w:r>
      <w:proofErr w:type="spellEnd"/>
      <w:r>
        <w:rPr>
          <w:rFonts w:ascii="Times New Roman" w:hAnsi="Times New Roman"/>
          <w:sz w:val="24"/>
          <w:szCs w:val="24"/>
        </w:rPr>
        <w:t xml:space="preserve"> implant placement compared with </w:t>
      </w:r>
      <w:proofErr w:type="spellStart"/>
      <w:r>
        <w:rPr>
          <w:rFonts w:ascii="Times New Roman" w:hAnsi="Times New Roman"/>
          <w:sz w:val="24"/>
          <w:szCs w:val="24"/>
        </w:rPr>
        <w:t>equicrestal</w:t>
      </w:r>
      <w:proofErr w:type="spellEnd"/>
      <w:r>
        <w:rPr>
          <w:rFonts w:ascii="Times New Roman" w:hAnsi="Times New Roman"/>
          <w:sz w:val="24"/>
          <w:szCs w:val="24"/>
        </w:rPr>
        <w:t xml:space="preserve"> position on the peri-implant hard and soft tissues around platform-switched implants: a systematic review and meta-analysis. </w:t>
      </w:r>
      <w:r>
        <w:rPr>
          <w:rFonts w:ascii="Times New Roman" w:hAnsi="Times New Roman"/>
          <w:i/>
          <w:iCs/>
          <w:sz w:val="24"/>
          <w:szCs w:val="24"/>
          <w:lang w:val="es-ES"/>
        </w:rPr>
        <w:t>Clin Oral Invest</w:t>
      </w:r>
      <w:r>
        <w:rPr>
          <w:rFonts w:ascii="Times New Roman" w:hAnsi="Times New Roman"/>
          <w:sz w:val="24"/>
          <w:szCs w:val="24"/>
          <w:lang w:val="es-ES"/>
        </w:rPr>
        <w:t xml:space="preserve"> 22: 555–570.</w:t>
      </w:r>
      <w:r w:rsidR="00127356">
        <w:rPr>
          <w:rFonts w:ascii="Times New Roman" w:hAnsi="Times New Roman"/>
          <w:sz w:val="24"/>
          <w:szCs w:val="24"/>
          <w:lang w:val="es-ES"/>
        </w:rPr>
        <w:t xml:space="preserve"> </w:t>
      </w:r>
      <w:r w:rsidR="00127356" w:rsidRPr="002B3755">
        <w:rPr>
          <w:rFonts w:ascii="Times New Roman" w:hAnsi="Times New Roman"/>
          <w:color w:val="212121"/>
          <w:sz w:val="24"/>
          <w:szCs w:val="24"/>
          <w:shd w:val="clear" w:color="auto" w:fill="FFFFFF"/>
        </w:rPr>
        <w:t>https://doi.org/</w:t>
      </w:r>
      <w:r w:rsidR="00127356" w:rsidRPr="00127356">
        <w:rPr>
          <w:rFonts w:ascii="Times New Roman" w:hAnsi="Times New Roman"/>
          <w:color w:val="212121"/>
          <w:sz w:val="24"/>
          <w:szCs w:val="24"/>
          <w:shd w:val="clear" w:color="auto" w:fill="FFFFFF"/>
        </w:rPr>
        <w:t>10.1007/s00784-017-2301-1</w:t>
      </w:r>
    </w:p>
    <w:p w14:paraId="6CBCA20F" w14:textId="57C457BB" w:rsidR="001612D5" w:rsidRDefault="00000000" w:rsidP="001647C5">
      <w:pPr>
        <w:pStyle w:val="Prrafodelista"/>
        <w:numPr>
          <w:ilvl w:val="0"/>
          <w:numId w:val="4"/>
        </w:numPr>
        <w:spacing w:line="300" w:lineRule="atLeast"/>
        <w:ind w:firstLineChars="0"/>
        <w:rPr>
          <w:rFonts w:ascii="Times New Roman" w:hAnsi="Times New Roman"/>
          <w:sz w:val="24"/>
          <w:szCs w:val="24"/>
          <w:lang w:val="es-ES"/>
        </w:rPr>
      </w:pPr>
      <w:r>
        <w:rPr>
          <w:rFonts w:ascii="Times New Roman" w:hAnsi="Times New Roman"/>
          <w:sz w:val="24"/>
          <w:szCs w:val="24"/>
          <w:lang w:val="es-ES"/>
        </w:rPr>
        <w:t xml:space="preserve">Calvo-Guirado JL, Lopez-Lopez PJ, Mate Sanchez JE, et al. </w:t>
      </w:r>
      <w:r>
        <w:rPr>
          <w:rFonts w:ascii="Times New Roman" w:hAnsi="Times New Roman"/>
          <w:sz w:val="24"/>
          <w:szCs w:val="24"/>
        </w:rPr>
        <w:t xml:space="preserve">(2014) Crestal bone loss related to immediate implants in crestal and </w:t>
      </w:r>
      <w:proofErr w:type="spellStart"/>
      <w:r>
        <w:rPr>
          <w:rFonts w:ascii="Times New Roman" w:hAnsi="Times New Roman"/>
          <w:sz w:val="24"/>
          <w:szCs w:val="24"/>
        </w:rPr>
        <w:t>subcrestal</w:t>
      </w:r>
      <w:proofErr w:type="spellEnd"/>
      <w:r>
        <w:rPr>
          <w:rFonts w:ascii="Times New Roman" w:hAnsi="Times New Roman"/>
          <w:sz w:val="24"/>
          <w:szCs w:val="24"/>
        </w:rPr>
        <w:t xml:space="preserve"> position: a pilot study in dogs. </w:t>
      </w:r>
      <w:r>
        <w:rPr>
          <w:rFonts w:ascii="Times New Roman" w:hAnsi="Times New Roman"/>
          <w:i/>
          <w:iCs/>
          <w:sz w:val="24"/>
          <w:szCs w:val="24"/>
          <w:lang w:val="es-ES"/>
        </w:rPr>
        <w:t>Clin Oral Implants Res</w:t>
      </w:r>
      <w:r>
        <w:rPr>
          <w:rFonts w:ascii="Times New Roman" w:hAnsi="Times New Roman"/>
          <w:sz w:val="24"/>
          <w:szCs w:val="24"/>
          <w:lang w:val="es-ES"/>
        </w:rPr>
        <w:t xml:space="preserve"> 25: 1286–1294.</w:t>
      </w:r>
      <w:r w:rsidR="00127356">
        <w:rPr>
          <w:rFonts w:ascii="Times New Roman" w:hAnsi="Times New Roman"/>
          <w:sz w:val="24"/>
          <w:szCs w:val="24"/>
          <w:lang w:val="es-ES"/>
        </w:rPr>
        <w:t xml:space="preserve"> </w:t>
      </w:r>
      <w:r w:rsidR="00127356" w:rsidRPr="00127356">
        <w:rPr>
          <w:rFonts w:ascii="Times New Roman" w:hAnsi="Times New Roman"/>
          <w:sz w:val="24"/>
          <w:szCs w:val="24"/>
          <w:lang w:val="es-ES"/>
        </w:rPr>
        <w:t>https://doi.org/10.1111/clr.12267</w:t>
      </w:r>
    </w:p>
    <w:p w14:paraId="1BA1FF34" w14:textId="22667E12" w:rsidR="001612D5" w:rsidRDefault="00000000" w:rsidP="001647C5">
      <w:pPr>
        <w:pStyle w:val="Prrafodelista"/>
        <w:numPr>
          <w:ilvl w:val="0"/>
          <w:numId w:val="4"/>
        </w:numPr>
        <w:spacing w:line="300" w:lineRule="atLeast"/>
        <w:ind w:firstLineChars="0"/>
        <w:rPr>
          <w:rFonts w:ascii="Times New Roman" w:hAnsi="Times New Roman"/>
          <w:sz w:val="24"/>
          <w:szCs w:val="24"/>
          <w:lang w:val="es-ES"/>
        </w:rPr>
      </w:pPr>
      <w:r>
        <w:rPr>
          <w:rFonts w:ascii="Times New Roman" w:hAnsi="Times New Roman"/>
          <w:sz w:val="24"/>
          <w:szCs w:val="24"/>
          <w:lang w:val="es-ES"/>
        </w:rPr>
        <w:t xml:space="preserve">Negri B, Lopez Mari M, Mate Sanchez de Val JE, et al. </w:t>
      </w:r>
      <w:r>
        <w:rPr>
          <w:rFonts w:ascii="Times New Roman" w:hAnsi="Times New Roman"/>
          <w:sz w:val="24"/>
          <w:szCs w:val="24"/>
        </w:rPr>
        <w:t xml:space="preserve">(2015) Biological width formation to immediate implants placed at different level in relation to the crestal bone: an experimental study in dogs. </w:t>
      </w:r>
      <w:r>
        <w:rPr>
          <w:rFonts w:ascii="Times New Roman" w:hAnsi="Times New Roman"/>
          <w:i/>
          <w:iCs/>
          <w:sz w:val="24"/>
          <w:szCs w:val="24"/>
          <w:lang w:val="es-ES"/>
        </w:rPr>
        <w:t>Clin Oral Implants Res</w:t>
      </w:r>
      <w:r>
        <w:rPr>
          <w:rFonts w:ascii="Times New Roman" w:hAnsi="Times New Roman"/>
          <w:sz w:val="24"/>
          <w:szCs w:val="24"/>
          <w:lang w:val="es-ES"/>
        </w:rPr>
        <w:t xml:space="preserve"> 26: 788–98.</w:t>
      </w:r>
      <w:r w:rsidR="00127356">
        <w:rPr>
          <w:rFonts w:ascii="Times New Roman" w:hAnsi="Times New Roman"/>
          <w:sz w:val="24"/>
          <w:szCs w:val="24"/>
          <w:lang w:val="es-ES"/>
        </w:rPr>
        <w:t xml:space="preserve"> </w:t>
      </w:r>
      <w:r w:rsidR="00127356" w:rsidRPr="00127356">
        <w:rPr>
          <w:rFonts w:ascii="Times New Roman" w:hAnsi="Times New Roman"/>
          <w:sz w:val="24"/>
          <w:szCs w:val="24"/>
          <w:lang w:val="es-ES"/>
        </w:rPr>
        <w:t>https://doi.org/10.1111/clr.12345</w:t>
      </w:r>
    </w:p>
    <w:p w14:paraId="30C83B25" w14:textId="50FF49E9" w:rsidR="001612D5" w:rsidRDefault="00000000" w:rsidP="001647C5">
      <w:pPr>
        <w:pStyle w:val="Prrafodelista"/>
        <w:numPr>
          <w:ilvl w:val="0"/>
          <w:numId w:val="4"/>
        </w:numPr>
        <w:spacing w:line="300" w:lineRule="atLeast"/>
        <w:ind w:firstLineChars="0"/>
        <w:rPr>
          <w:rFonts w:ascii="Times New Roman" w:hAnsi="Times New Roman"/>
          <w:sz w:val="24"/>
          <w:szCs w:val="24"/>
          <w:lang w:val="es-ES"/>
        </w:rPr>
      </w:pPr>
      <w:r>
        <w:rPr>
          <w:rFonts w:ascii="Times New Roman" w:hAnsi="Times New Roman"/>
          <w:sz w:val="24"/>
          <w:szCs w:val="24"/>
          <w:lang w:val="es-ES"/>
        </w:rPr>
        <w:t xml:space="preserve">Perez-Albacete Martinez C, Vlahovic Z, Scepanovic M, et al. </w:t>
      </w:r>
      <w:r>
        <w:rPr>
          <w:rFonts w:ascii="Times New Roman" w:hAnsi="Times New Roman"/>
          <w:sz w:val="24"/>
          <w:szCs w:val="24"/>
        </w:rPr>
        <w:t xml:space="preserve">(2016) Submerged flapless technique vs. conventional flap approach for implant placement: experimental domestic pig study with 12-month follow-up. </w:t>
      </w:r>
      <w:r>
        <w:rPr>
          <w:rFonts w:ascii="Times New Roman" w:hAnsi="Times New Roman"/>
          <w:i/>
          <w:iCs/>
          <w:sz w:val="24"/>
          <w:szCs w:val="24"/>
          <w:lang w:val="es-ES"/>
        </w:rPr>
        <w:t>Clin Oral Implants Res</w:t>
      </w:r>
      <w:r>
        <w:rPr>
          <w:rFonts w:ascii="Times New Roman" w:hAnsi="Times New Roman"/>
          <w:sz w:val="24"/>
          <w:szCs w:val="24"/>
          <w:lang w:val="es-ES"/>
        </w:rPr>
        <w:t xml:space="preserve"> 27: 964–968.</w:t>
      </w:r>
      <w:r w:rsidR="00127356">
        <w:rPr>
          <w:rFonts w:ascii="Times New Roman" w:hAnsi="Times New Roman"/>
          <w:sz w:val="24"/>
          <w:szCs w:val="24"/>
          <w:lang w:val="es-ES"/>
        </w:rPr>
        <w:t xml:space="preserve"> </w:t>
      </w:r>
      <w:r w:rsidR="00127356" w:rsidRPr="00127356">
        <w:rPr>
          <w:rFonts w:ascii="Times New Roman" w:hAnsi="Times New Roman"/>
          <w:sz w:val="24"/>
          <w:szCs w:val="24"/>
          <w:lang w:val="es-ES"/>
        </w:rPr>
        <w:t>https://doi.org/10.1111/clr.12665</w:t>
      </w:r>
    </w:p>
    <w:p w14:paraId="0C91B856" w14:textId="6CC35386" w:rsidR="001612D5" w:rsidRDefault="00000000" w:rsidP="001647C5">
      <w:pPr>
        <w:pStyle w:val="Prrafodelista"/>
        <w:numPr>
          <w:ilvl w:val="0"/>
          <w:numId w:val="4"/>
        </w:numPr>
        <w:spacing w:line="300" w:lineRule="atLeast"/>
        <w:ind w:firstLineChars="0"/>
        <w:rPr>
          <w:rFonts w:ascii="Times New Roman" w:hAnsi="Times New Roman"/>
          <w:b/>
          <w:sz w:val="24"/>
          <w:szCs w:val="24"/>
        </w:rPr>
      </w:pPr>
      <w:r>
        <w:rPr>
          <w:rFonts w:ascii="Times New Roman" w:hAnsi="Times New Roman"/>
          <w:sz w:val="24"/>
          <w:szCs w:val="24"/>
          <w:lang w:val="es-ES"/>
        </w:rPr>
        <w:t xml:space="preserve">Calvo-Guirado JL, Gomez-Moreno G, Delgado-Ruiz RA, et al. </w:t>
      </w:r>
      <w:r>
        <w:rPr>
          <w:rFonts w:ascii="Times New Roman" w:hAnsi="Times New Roman"/>
          <w:sz w:val="24"/>
          <w:szCs w:val="24"/>
        </w:rPr>
        <w:t xml:space="preserve">(2014) Clinical and radiographic evaluation of </w:t>
      </w:r>
      <w:proofErr w:type="spellStart"/>
      <w:r>
        <w:rPr>
          <w:rFonts w:ascii="Times New Roman" w:hAnsi="Times New Roman"/>
          <w:sz w:val="24"/>
          <w:szCs w:val="24"/>
        </w:rPr>
        <w:t>osseotite</w:t>
      </w:r>
      <w:proofErr w:type="spellEnd"/>
      <w:r>
        <w:rPr>
          <w:rFonts w:ascii="Times New Roman" w:hAnsi="Times New Roman"/>
          <w:sz w:val="24"/>
          <w:szCs w:val="24"/>
        </w:rPr>
        <w:t xml:space="preserve">-expanded platform implants related to crestal bone loss: a 10-year study. </w:t>
      </w:r>
      <w:r>
        <w:rPr>
          <w:rFonts w:ascii="Times New Roman" w:hAnsi="Times New Roman"/>
          <w:i/>
          <w:iCs/>
          <w:sz w:val="24"/>
          <w:szCs w:val="24"/>
        </w:rPr>
        <w:t>Clin Oral Implants Res</w:t>
      </w:r>
      <w:r>
        <w:rPr>
          <w:rFonts w:ascii="Times New Roman" w:hAnsi="Times New Roman"/>
          <w:sz w:val="24"/>
          <w:szCs w:val="24"/>
        </w:rPr>
        <w:t xml:space="preserve"> 25: 352</w:t>
      </w:r>
      <w:r>
        <w:rPr>
          <w:rFonts w:ascii="Times New Roman" w:hAnsi="Times New Roman"/>
          <w:sz w:val="24"/>
          <w:szCs w:val="24"/>
          <w:lang w:val="es-ES"/>
        </w:rPr>
        <w:t>–</w:t>
      </w:r>
      <w:r>
        <w:rPr>
          <w:rFonts w:ascii="Times New Roman" w:hAnsi="Times New Roman"/>
          <w:sz w:val="24"/>
          <w:szCs w:val="24"/>
        </w:rPr>
        <w:t>358.</w:t>
      </w:r>
      <w:r w:rsidR="00127356">
        <w:rPr>
          <w:rFonts w:ascii="Times New Roman" w:hAnsi="Times New Roman"/>
          <w:sz w:val="24"/>
          <w:szCs w:val="24"/>
        </w:rPr>
        <w:t xml:space="preserve"> </w:t>
      </w:r>
      <w:r w:rsidR="00127356" w:rsidRPr="00127356">
        <w:rPr>
          <w:rFonts w:ascii="Times New Roman" w:hAnsi="Times New Roman"/>
          <w:sz w:val="24"/>
          <w:szCs w:val="24"/>
        </w:rPr>
        <w:t>https://doi.org/10.1111/clr.12134</w:t>
      </w:r>
    </w:p>
    <w:p w14:paraId="4D597011" w14:textId="1C681A64" w:rsidR="001612D5" w:rsidRDefault="00000000" w:rsidP="001647C5">
      <w:pPr>
        <w:pStyle w:val="Prrafodelista"/>
        <w:numPr>
          <w:ilvl w:val="0"/>
          <w:numId w:val="4"/>
        </w:numPr>
        <w:spacing w:line="300" w:lineRule="atLeast"/>
        <w:ind w:firstLineChars="0"/>
        <w:rPr>
          <w:rFonts w:ascii="Times New Roman" w:hAnsi="Times New Roman"/>
          <w:b/>
          <w:sz w:val="24"/>
          <w:szCs w:val="24"/>
        </w:rPr>
      </w:pPr>
      <w:proofErr w:type="spellStart"/>
      <w:r>
        <w:rPr>
          <w:rFonts w:ascii="Times New Roman" w:hAnsi="Times New Roman"/>
          <w:bCs/>
          <w:sz w:val="24"/>
          <w:szCs w:val="24"/>
        </w:rPr>
        <w:t>Bertl</w:t>
      </w:r>
      <w:proofErr w:type="spellEnd"/>
      <w:r>
        <w:rPr>
          <w:rFonts w:ascii="Times New Roman" w:hAnsi="Times New Roman"/>
          <w:bCs/>
          <w:sz w:val="24"/>
          <w:szCs w:val="24"/>
        </w:rPr>
        <w:t xml:space="preserve"> K, </w:t>
      </w:r>
      <w:proofErr w:type="spellStart"/>
      <w:r>
        <w:rPr>
          <w:rFonts w:ascii="Times New Roman" w:hAnsi="Times New Roman"/>
          <w:bCs/>
          <w:sz w:val="24"/>
          <w:szCs w:val="24"/>
        </w:rPr>
        <w:t>Heimel</w:t>
      </w:r>
      <w:proofErr w:type="spellEnd"/>
      <w:r>
        <w:rPr>
          <w:rFonts w:ascii="Times New Roman" w:hAnsi="Times New Roman"/>
          <w:bCs/>
          <w:sz w:val="24"/>
          <w:szCs w:val="24"/>
        </w:rPr>
        <w:t xml:space="preserve"> P, </w:t>
      </w:r>
      <w:proofErr w:type="spellStart"/>
      <w:r>
        <w:rPr>
          <w:rFonts w:ascii="Times New Roman" w:hAnsi="Times New Roman"/>
          <w:bCs/>
          <w:sz w:val="24"/>
          <w:szCs w:val="24"/>
        </w:rPr>
        <w:t>Rokl-Riegler</w:t>
      </w:r>
      <w:proofErr w:type="spellEnd"/>
      <w:r>
        <w:rPr>
          <w:rFonts w:ascii="Times New Roman" w:hAnsi="Times New Roman"/>
          <w:bCs/>
          <w:sz w:val="24"/>
          <w:szCs w:val="24"/>
        </w:rPr>
        <w:t xml:space="preserve"> M, et al. (2015) </w:t>
      </w:r>
      <w:proofErr w:type="spellStart"/>
      <w:r>
        <w:rPr>
          <w:rFonts w:ascii="Times New Roman" w:hAnsi="Times New Roman"/>
          <w:bCs/>
          <w:sz w:val="24"/>
          <w:szCs w:val="24"/>
        </w:rPr>
        <w:t>MicroCT</w:t>
      </w:r>
      <w:proofErr w:type="spellEnd"/>
      <w:r>
        <w:rPr>
          <w:rFonts w:ascii="Times New Roman" w:hAnsi="Times New Roman"/>
          <w:bCs/>
          <w:sz w:val="24"/>
          <w:szCs w:val="24"/>
        </w:rPr>
        <w:t xml:space="preserve">-based evaluation of the trabecular bone quality of different implant anchorage sites for masticatory rehabilitation of the maxilla. </w:t>
      </w:r>
      <w:r>
        <w:rPr>
          <w:rFonts w:ascii="Times New Roman" w:hAnsi="Times New Roman"/>
          <w:bCs/>
          <w:i/>
          <w:iCs/>
          <w:sz w:val="24"/>
          <w:szCs w:val="24"/>
        </w:rPr>
        <w:t xml:space="preserve">J </w:t>
      </w:r>
      <w:proofErr w:type="spellStart"/>
      <w:r>
        <w:rPr>
          <w:rFonts w:ascii="Times New Roman" w:hAnsi="Times New Roman"/>
          <w:bCs/>
          <w:i/>
          <w:iCs/>
          <w:sz w:val="24"/>
          <w:szCs w:val="24"/>
        </w:rPr>
        <w:t>Craniomaxillofac</w:t>
      </w:r>
      <w:proofErr w:type="spellEnd"/>
      <w:r>
        <w:rPr>
          <w:rFonts w:ascii="Times New Roman" w:hAnsi="Times New Roman"/>
          <w:bCs/>
          <w:i/>
          <w:iCs/>
          <w:sz w:val="24"/>
          <w:szCs w:val="24"/>
        </w:rPr>
        <w:t xml:space="preserve"> Surg</w:t>
      </w:r>
      <w:r>
        <w:rPr>
          <w:rFonts w:ascii="Times New Roman" w:hAnsi="Times New Roman"/>
          <w:bCs/>
          <w:sz w:val="24"/>
          <w:szCs w:val="24"/>
        </w:rPr>
        <w:t xml:space="preserve"> 43: 961</w:t>
      </w:r>
      <w:r>
        <w:rPr>
          <w:rFonts w:ascii="Times New Roman" w:hAnsi="Times New Roman"/>
          <w:sz w:val="24"/>
          <w:szCs w:val="24"/>
          <w:lang w:val="es-ES"/>
        </w:rPr>
        <w:t>–</w:t>
      </w:r>
      <w:r>
        <w:rPr>
          <w:rFonts w:ascii="Times New Roman" w:hAnsi="Times New Roman"/>
          <w:bCs/>
          <w:sz w:val="24"/>
          <w:szCs w:val="24"/>
        </w:rPr>
        <w:t>968.</w:t>
      </w:r>
      <w:r w:rsidR="00444F98">
        <w:rPr>
          <w:rFonts w:ascii="Times New Roman" w:hAnsi="Times New Roman"/>
          <w:bCs/>
          <w:sz w:val="24"/>
          <w:szCs w:val="24"/>
        </w:rPr>
        <w:t xml:space="preserve"> </w:t>
      </w:r>
      <w:r w:rsidR="00444F98" w:rsidRPr="00444F98">
        <w:rPr>
          <w:rFonts w:ascii="Times New Roman" w:hAnsi="Times New Roman"/>
          <w:bCs/>
          <w:sz w:val="24"/>
          <w:szCs w:val="24"/>
        </w:rPr>
        <w:t>https://doi.org/10.1016/j.jcms.2015.04.008</w:t>
      </w:r>
    </w:p>
    <w:p w14:paraId="7B2D182F" w14:textId="60C93895" w:rsidR="00444F98" w:rsidRDefault="00000000" w:rsidP="001647C5">
      <w:pPr>
        <w:pStyle w:val="Prrafodelista"/>
        <w:numPr>
          <w:ilvl w:val="0"/>
          <w:numId w:val="4"/>
        </w:numPr>
        <w:spacing w:line="300" w:lineRule="atLeast"/>
        <w:ind w:firstLineChars="0"/>
        <w:rPr>
          <w:rFonts w:ascii="Times New Roman" w:hAnsi="Times New Roman"/>
          <w:bCs/>
          <w:sz w:val="24"/>
          <w:szCs w:val="24"/>
        </w:rPr>
      </w:pPr>
      <w:r>
        <w:rPr>
          <w:rFonts w:ascii="Times New Roman" w:hAnsi="Times New Roman"/>
          <w:bCs/>
          <w:sz w:val="24"/>
          <w:szCs w:val="24"/>
        </w:rPr>
        <w:t xml:space="preserve">Cooper D, </w:t>
      </w:r>
      <w:proofErr w:type="spellStart"/>
      <w:r>
        <w:rPr>
          <w:rFonts w:ascii="Times New Roman" w:hAnsi="Times New Roman"/>
          <w:bCs/>
          <w:sz w:val="24"/>
          <w:szCs w:val="24"/>
        </w:rPr>
        <w:t>Turinsky</w:t>
      </w:r>
      <w:proofErr w:type="spellEnd"/>
      <w:r>
        <w:rPr>
          <w:rFonts w:ascii="Times New Roman" w:hAnsi="Times New Roman"/>
          <w:bCs/>
          <w:sz w:val="24"/>
          <w:szCs w:val="24"/>
        </w:rPr>
        <w:t xml:space="preserve"> A, </w:t>
      </w:r>
      <w:proofErr w:type="spellStart"/>
      <w:r>
        <w:rPr>
          <w:rFonts w:ascii="Times New Roman" w:hAnsi="Times New Roman"/>
          <w:bCs/>
          <w:sz w:val="24"/>
          <w:szCs w:val="24"/>
        </w:rPr>
        <w:t>Sensen</w:t>
      </w:r>
      <w:proofErr w:type="spellEnd"/>
      <w:r>
        <w:rPr>
          <w:rFonts w:ascii="Times New Roman" w:hAnsi="Times New Roman"/>
          <w:bCs/>
          <w:sz w:val="24"/>
          <w:szCs w:val="24"/>
        </w:rPr>
        <w:t xml:space="preserve"> C, et al. (2007) Effect of voxel size on 3D micro-CT analysis of cortical bone porosity. </w:t>
      </w:r>
      <w:proofErr w:type="spellStart"/>
      <w:r>
        <w:rPr>
          <w:rFonts w:ascii="Times New Roman" w:hAnsi="Times New Roman"/>
          <w:bCs/>
          <w:i/>
          <w:iCs/>
          <w:sz w:val="24"/>
          <w:szCs w:val="24"/>
        </w:rPr>
        <w:t>Calcif</w:t>
      </w:r>
      <w:proofErr w:type="spellEnd"/>
      <w:r>
        <w:rPr>
          <w:rFonts w:ascii="Times New Roman" w:hAnsi="Times New Roman"/>
          <w:bCs/>
          <w:i/>
          <w:iCs/>
          <w:sz w:val="24"/>
          <w:szCs w:val="24"/>
        </w:rPr>
        <w:t xml:space="preserve"> Tissue Int</w:t>
      </w:r>
      <w:r>
        <w:rPr>
          <w:rFonts w:ascii="Times New Roman" w:hAnsi="Times New Roman"/>
          <w:bCs/>
          <w:sz w:val="24"/>
          <w:szCs w:val="24"/>
        </w:rPr>
        <w:t xml:space="preserve"> 80: 211</w:t>
      </w:r>
      <w:r>
        <w:rPr>
          <w:rFonts w:ascii="Times New Roman" w:hAnsi="Times New Roman"/>
          <w:sz w:val="24"/>
          <w:szCs w:val="24"/>
          <w:lang w:val="es-ES"/>
        </w:rPr>
        <w:t>–</w:t>
      </w:r>
      <w:r>
        <w:rPr>
          <w:rFonts w:ascii="Times New Roman" w:hAnsi="Times New Roman"/>
          <w:bCs/>
          <w:sz w:val="24"/>
          <w:szCs w:val="24"/>
        </w:rPr>
        <w:t>219.</w:t>
      </w:r>
      <w:r w:rsidR="00444F98">
        <w:rPr>
          <w:rFonts w:ascii="Times New Roman" w:hAnsi="Times New Roman"/>
          <w:bCs/>
          <w:sz w:val="24"/>
          <w:szCs w:val="24"/>
        </w:rPr>
        <w:t xml:space="preserve"> </w:t>
      </w:r>
      <w:r w:rsidR="00444F98" w:rsidRPr="00444F98">
        <w:rPr>
          <w:rFonts w:ascii="Times New Roman" w:hAnsi="Times New Roman"/>
          <w:bCs/>
          <w:sz w:val="24"/>
          <w:szCs w:val="24"/>
        </w:rPr>
        <w:t>https://doi.org/10.1007/s00223-005-0274-6</w:t>
      </w:r>
    </w:p>
    <w:p w14:paraId="2C5AD5E5" w14:textId="77777777" w:rsidR="00444F98" w:rsidRPr="001647C5" w:rsidRDefault="00444F98" w:rsidP="001647C5">
      <w:pPr>
        <w:pStyle w:val="Prrafodelista"/>
        <w:widowControl/>
        <w:numPr>
          <w:ilvl w:val="0"/>
          <w:numId w:val="3"/>
        </w:numPr>
        <w:ind w:firstLineChars="0"/>
        <w:jc w:val="left"/>
        <w:rPr>
          <w:rFonts w:ascii="Times New Roman" w:hAnsi="Times New Roman"/>
          <w:bCs/>
          <w:sz w:val="24"/>
          <w:szCs w:val="24"/>
        </w:rPr>
      </w:pPr>
      <w:r w:rsidRPr="001647C5">
        <w:rPr>
          <w:rFonts w:ascii="Times New Roman" w:hAnsi="Times New Roman"/>
          <w:bCs/>
          <w:sz w:val="24"/>
          <w:szCs w:val="24"/>
        </w:rPr>
        <w:br w:type="page"/>
      </w:r>
    </w:p>
    <w:p w14:paraId="15AD4068" w14:textId="6B98E451" w:rsidR="00444F98" w:rsidRPr="00444F98" w:rsidRDefault="00000000" w:rsidP="001647C5">
      <w:pPr>
        <w:pStyle w:val="Prrafodelista"/>
        <w:numPr>
          <w:ilvl w:val="0"/>
          <w:numId w:val="4"/>
        </w:numPr>
        <w:spacing w:line="300" w:lineRule="atLeast"/>
        <w:ind w:firstLineChars="0"/>
        <w:rPr>
          <w:rFonts w:ascii="Times New Roman" w:eastAsia="Times New Roman" w:hAnsi="Times New Roman"/>
          <w:color w:val="212121"/>
          <w:spacing w:val="-2"/>
          <w:sz w:val="24"/>
          <w:szCs w:val="24"/>
          <w:shd w:val="clear" w:color="auto" w:fill="FFFFFF"/>
        </w:rPr>
      </w:pPr>
      <w:proofErr w:type="spellStart"/>
      <w:r>
        <w:rPr>
          <w:rFonts w:ascii="Times New Roman" w:eastAsia="Times New Roman" w:hAnsi="Times New Roman"/>
          <w:color w:val="212121"/>
          <w:spacing w:val="-2"/>
          <w:sz w:val="24"/>
          <w:szCs w:val="24"/>
          <w:shd w:val="clear" w:color="auto" w:fill="FFFFFF"/>
        </w:rPr>
        <w:lastRenderedPageBreak/>
        <w:t>Ghaleh</w:t>
      </w:r>
      <w:proofErr w:type="spellEnd"/>
      <w:r>
        <w:rPr>
          <w:rFonts w:ascii="Times New Roman" w:eastAsia="Times New Roman" w:hAnsi="Times New Roman"/>
          <w:color w:val="212121"/>
          <w:spacing w:val="-2"/>
          <w:sz w:val="24"/>
          <w:szCs w:val="24"/>
          <w:shd w:val="clear" w:color="auto" w:fill="FFFFFF"/>
        </w:rPr>
        <w:t xml:space="preserve"> </w:t>
      </w:r>
      <w:proofErr w:type="spellStart"/>
      <w:r>
        <w:rPr>
          <w:rFonts w:ascii="Times New Roman" w:eastAsia="Times New Roman" w:hAnsi="Times New Roman"/>
          <w:color w:val="212121"/>
          <w:spacing w:val="-2"/>
          <w:sz w:val="24"/>
          <w:szCs w:val="24"/>
          <w:shd w:val="clear" w:color="auto" w:fill="FFFFFF"/>
        </w:rPr>
        <w:t>Golab</w:t>
      </w:r>
      <w:proofErr w:type="spellEnd"/>
      <w:r>
        <w:rPr>
          <w:rFonts w:ascii="Times New Roman" w:eastAsia="Times New Roman" w:hAnsi="Times New Roman"/>
          <w:color w:val="212121"/>
          <w:spacing w:val="-2"/>
          <w:sz w:val="24"/>
          <w:szCs w:val="24"/>
          <w:shd w:val="clear" w:color="auto" w:fill="FFFFFF"/>
        </w:rPr>
        <w:t xml:space="preserve"> K, </w:t>
      </w:r>
      <w:proofErr w:type="spellStart"/>
      <w:r>
        <w:rPr>
          <w:rFonts w:ascii="Times New Roman" w:eastAsia="Times New Roman" w:hAnsi="Times New Roman"/>
          <w:color w:val="212121"/>
          <w:spacing w:val="-2"/>
          <w:sz w:val="24"/>
          <w:szCs w:val="24"/>
          <w:shd w:val="clear" w:color="auto" w:fill="FFFFFF"/>
        </w:rPr>
        <w:t>Balouch</w:t>
      </w:r>
      <w:proofErr w:type="spellEnd"/>
      <w:r>
        <w:rPr>
          <w:rFonts w:ascii="Times New Roman" w:eastAsia="Times New Roman" w:hAnsi="Times New Roman"/>
          <w:color w:val="212121"/>
          <w:spacing w:val="-2"/>
          <w:sz w:val="24"/>
          <w:szCs w:val="24"/>
          <w:shd w:val="clear" w:color="auto" w:fill="FFFFFF"/>
        </w:rPr>
        <w:t xml:space="preserve"> A, </w:t>
      </w:r>
      <w:proofErr w:type="spellStart"/>
      <w:r>
        <w:rPr>
          <w:rFonts w:ascii="Times New Roman" w:eastAsia="Times New Roman" w:hAnsi="Times New Roman"/>
          <w:color w:val="212121"/>
          <w:spacing w:val="-2"/>
          <w:sz w:val="24"/>
          <w:szCs w:val="24"/>
          <w:shd w:val="clear" w:color="auto" w:fill="FFFFFF"/>
        </w:rPr>
        <w:t>Mirtorabi</w:t>
      </w:r>
      <w:proofErr w:type="spellEnd"/>
      <w:r>
        <w:rPr>
          <w:rFonts w:ascii="Times New Roman" w:eastAsia="Times New Roman" w:hAnsi="Times New Roman"/>
          <w:color w:val="212121"/>
          <w:spacing w:val="-2"/>
          <w:sz w:val="24"/>
          <w:szCs w:val="24"/>
          <w:shd w:val="clear" w:color="auto" w:fill="FFFFFF"/>
        </w:rPr>
        <w:t xml:space="preserve"> S (2016) One-year multicenter prospective evaluation of survival rates and bone resorption in one-piece implants. </w:t>
      </w:r>
      <w:r>
        <w:rPr>
          <w:rFonts w:ascii="Times New Roman" w:eastAsia="Times New Roman" w:hAnsi="Times New Roman"/>
          <w:i/>
          <w:iCs/>
          <w:color w:val="212121"/>
          <w:spacing w:val="-2"/>
          <w:sz w:val="24"/>
          <w:szCs w:val="24"/>
          <w:shd w:val="clear" w:color="auto" w:fill="FFFFFF"/>
        </w:rPr>
        <w:t xml:space="preserve">Clin Implant Dent </w:t>
      </w:r>
      <w:proofErr w:type="spellStart"/>
      <w:r>
        <w:rPr>
          <w:rFonts w:ascii="Times New Roman" w:eastAsia="Times New Roman" w:hAnsi="Times New Roman"/>
          <w:i/>
          <w:iCs/>
          <w:color w:val="212121"/>
          <w:spacing w:val="-2"/>
          <w:sz w:val="24"/>
          <w:szCs w:val="24"/>
          <w:shd w:val="clear" w:color="auto" w:fill="FFFFFF"/>
        </w:rPr>
        <w:t>Relat</w:t>
      </w:r>
      <w:proofErr w:type="spellEnd"/>
      <w:r>
        <w:rPr>
          <w:rFonts w:ascii="Times New Roman" w:eastAsia="Times New Roman" w:hAnsi="Times New Roman"/>
          <w:color w:val="212121"/>
          <w:spacing w:val="-2"/>
          <w:sz w:val="24"/>
          <w:szCs w:val="24"/>
          <w:shd w:val="clear" w:color="auto" w:fill="FFFFFF"/>
        </w:rPr>
        <w:t xml:space="preserve"> Res 18: 392</w:t>
      </w:r>
      <w:r>
        <w:rPr>
          <w:rFonts w:ascii="Times New Roman" w:hAnsi="Times New Roman"/>
          <w:spacing w:val="-2"/>
          <w:sz w:val="24"/>
          <w:szCs w:val="24"/>
          <w:lang w:val="es-ES"/>
        </w:rPr>
        <w:t>–</w:t>
      </w:r>
      <w:r>
        <w:rPr>
          <w:rFonts w:ascii="Times New Roman" w:eastAsia="Times New Roman" w:hAnsi="Times New Roman"/>
          <w:color w:val="212121"/>
          <w:spacing w:val="-2"/>
          <w:sz w:val="24"/>
          <w:szCs w:val="24"/>
          <w:shd w:val="clear" w:color="auto" w:fill="FFFFFF"/>
        </w:rPr>
        <w:t>400.</w:t>
      </w:r>
      <w:r w:rsidR="00444F98">
        <w:rPr>
          <w:rFonts w:ascii="Times New Roman" w:eastAsia="Times New Roman" w:hAnsi="Times New Roman"/>
          <w:color w:val="212121"/>
          <w:spacing w:val="-2"/>
          <w:sz w:val="24"/>
          <w:szCs w:val="24"/>
          <w:shd w:val="clear" w:color="auto" w:fill="FFFFFF"/>
        </w:rPr>
        <w:t xml:space="preserve"> </w:t>
      </w:r>
      <w:r w:rsidR="00444F98" w:rsidRPr="00444F98">
        <w:rPr>
          <w:rFonts w:ascii="Times New Roman" w:eastAsia="Times New Roman" w:hAnsi="Times New Roman"/>
          <w:color w:val="212121"/>
          <w:spacing w:val="-2"/>
          <w:sz w:val="24"/>
          <w:szCs w:val="24"/>
          <w:shd w:val="clear" w:color="auto" w:fill="FFFFFF"/>
        </w:rPr>
        <w:t>https://doi.org/10.1111/cid.12299</w:t>
      </w:r>
    </w:p>
    <w:p w14:paraId="5471C8EB" w14:textId="637BDE00" w:rsidR="001612D5" w:rsidRDefault="00000000" w:rsidP="001647C5">
      <w:pPr>
        <w:pStyle w:val="Prrafodelista"/>
        <w:numPr>
          <w:ilvl w:val="0"/>
          <w:numId w:val="4"/>
        </w:numPr>
        <w:spacing w:line="300" w:lineRule="atLeast"/>
        <w:ind w:firstLineChars="0"/>
        <w:rPr>
          <w:rFonts w:ascii="Times New Roman" w:hAnsi="Times New Roman"/>
          <w:sz w:val="24"/>
          <w:szCs w:val="24"/>
          <w:lang w:val="es-ES"/>
        </w:rPr>
      </w:pPr>
      <w:proofErr w:type="spellStart"/>
      <w:r>
        <w:rPr>
          <w:rFonts w:ascii="Times New Roman" w:hAnsi="Times New Roman"/>
          <w:sz w:val="24"/>
          <w:szCs w:val="24"/>
        </w:rPr>
        <w:t>Duda</w:t>
      </w:r>
      <w:proofErr w:type="spellEnd"/>
      <w:r>
        <w:rPr>
          <w:rFonts w:ascii="Times New Roman" w:hAnsi="Times New Roman"/>
          <w:sz w:val="24"/>
          <w:szCs w:val="24"/>
        </w:rPr>
        <w:t xml:space="preserve"> M, </w:t>
      </w:r>
      <w:proofErr w:type="spellStart"/>
      <w:r>
        <w:rPr>
          <w:rFonts w:ascii="Times New Roman" w:hAnsi="Times New Roman"/>
          <w:sz w:val="24"/>
          <w:szCs w:val="24"/>
        </w:rPr>
        <w:t>Matalon</w:t>
      </w:r>
      <w:proofErr w:type="spellEnd"/>
      <w:r>
        <w:rPr>
          <w:rFonts w:ascii="Times New Roman" w:hAnsi="Times New Roman"/>
          <w:sz w:val="24"/>
          <w:szCs w:val="24"/>
        </w:rPr>
        <w:t xml:space="preserve"> S, </w:t>
      </w:r>
      <w:proofErr w:type="spellStart"/>
      <w:r>
        <w:rPr>
          <w:rFonts w:ascii="Times New Roman" w:hAnsi="Times New Roman"/>
          <w:sz w:val="24"/>
          <w:szCs w:val="24"/>
        </w:rPr>
        <w:t>Lewinstein</w:t>
      </w:r>
      <w:proofErr w:type="spellEnd"/>
      <w:r>
        <w:rPr>
          <w:rFonts w:ascii="Times New Roman" w:hAnsi="Times New Roman"/>
          <w:sz w:val="24"/>
          <w:szCs w:val="24"/>
        </w:rPr>
        <w:t xml:space="preserve"> I, et al. (2016) One piece immediately loaded implants versus 1 piece or 2 pieces delayed: 3 years outcome. </w:t>
      </w:r>
      <w:r>
        <w:rPr>
          <w:rFonts w:ascii="Times New Roman" w:hAnsi="Times New Roman"/>
          <w:i/>
          <w:iCs/>
          <w:sz w:val="24"/>
          <w:szCs w:val="24"/>
          <w:lang w:val="es-ES"/>
        </w:rPr>
        <w:t>Implant Dent</w:t>
      </w:r>
      <w:r>
        <w:rPr>
          <w:rFonts w:ascii="Times New Roman" w:hAnsi="Times New Roman"/>
          <w:sz w:val="24"/>
          <w:szCs w:val="24"/>
          <w:lang w:val="es-ES"/>
        </w:rPr>
        <w:t xml:space="preserve"> 25: 109–113.</w:t>
      </w:r>
      <w:r w:rsidR="00444F98">
        <w:rPr>
          <w:rFonts w:ascii="Times New Roman" w:hAnsi="Times New Roman"/>
          <w:sz w:val="24"/>
          <w:szCs w:val="24"/>
          <w:lang w:val="es-ES"/>
        </w:rPr>
        <w:t xml:space="preserve">            </w:t>
      </w:r>
      <w:r w:rsidR="00444F98" w:rsidRPr="00444F98">
        <w:rPr>
          <w:rFonts w:ascii="Times New Roman" w:eastAsia="Times New Roman" w:hAnsi="Times New Roman"/>
          <w:color w:val="212121"/>
          <w:spacing w:val="-2"/>
          <w:sz w:val="24"/>
          <w:szCs w:val="24"/>
          <w:shd w:val="clear" w:color="auto" w:fill="FFFFFF"/>
        </w:rPr>
        <w:t>https://doi.org/10.1097/ID.0000000000000343</w:t>
      </w:r>
    </w:p>
    <w:p w14:paraId="2C35BF6E" w14:textId="22009977" w:rsidR="001612D5" w:rsidRPr="003764E2" w:rsidRDefault="00000000" w:rsidP="001647C5">
      <w:pPr>
        <w:pStyle w:val="Prrafodelista"/>
        <w:numPr>
          <w:ilvl w:val="0"/>
          <w:numId w:val="4"/>
        </w:numPr>
        <w:spacing w:line="300" w:lineRule="atLeast"/>
        <w:ind w:firstLineChars="0"/>
        <w:rPr>
          <w:rFonts w:ascii="Times New Roman" w:hAnsi="Times New Roman"/>
          <w:color w:val="131413"/>
          <w:sz w:val="24"/>
          <w:szCs w:val="24"/>
        </w:rPr>
      </w:pPr>
      <w:r>
        <w:rPr>
          <w:rFonts w:ascii="Times New Roman" w:hAnsi="Times New Roman"/>
          <w:color w:val="131413"/>
          <w:sz w:val="24"/>
          <w:szCs w:val="24"/>
          <w:lang w:val="es-ES"/>
        </w:rPr>
        <w:t xml:space="preserve">Rodriguez-Ciurana X, Vela-Nebot X, Segala-Torres M, et al. </w:t>
      </w:r>
      <w:r>
        <w:rPr>
          <w:rFonts w:ascii="Times New Roman" w:hAnsi="Times New Roman"/>
          <w:color w:val="131413"/>
          <w:sz w:val="24"/>
          <w:szCs w:val="24"/>
        </w:rPr>
        <w:t xml:space="preserve">(2009) The effect of </w:t>
      </w:r>
      <w:proofErr w:type="spellStart"/>
      <w:r>
        <w:rPr>
          <w:rFonts w:ascii="Times New Roman" w:hAnsi="Times New Roman"/>
          <w:color w:val="131413"/>
          <w:sz w:val="24"/>
          <w:szCs w:val="24"/>
        </w:rPr>
        <w:t>interimplant</w:t>
      </w:r>
      <w:proofErr w:type="spellEnd"/>
      <w:r>
        <w:rPr>
          <w:rFonts w:ascii="Times New Roman" w:hAnsi="Times New Roman"/>
          <w:color w:val="131413"/>
          <w:sz w:val="24"/>
          <w:szCs w:val="24"/>
        </w:rPr>
        <w:t xml:space="preserve"> distance on the height of the </w:t>
      </w:r>
      <w:proofErr w:type="spellStart"/>
      <w:r>
        <w:rPr>
          <w:rFonts w:ascii="Times New Roman" w:hAnsi="Times New Roman"/>
          <w:color w:val="131413"/>
          <w:sz w:val="24"/>
          <w:szCs w:val="24"/>
        </w:rPr>
        <w:t>interimplant</w:t>
      </w:r>
      <w:proofErr w:type="spellEnd"/>
      <w:r>
        <w:rPr>
          <w:rFonts w:ascii="Times New Roman" w:hAnsi="Times New Roman"/>
          <w:color w:val="131413"/>
          <w:sz w:val="24"/>
          <w:szCs w:val="24"/>
        </w:rPr>
        <w:t xml:space="preserve"> bone crest when using platform-switched implants. </w:t>
      </w:r>
      <w:r w:rsidRPr="003764E2">
        <w:rPr>
          <w:rFonts w:ascii="Times New Roman" w:hAnsi="Times New Roman"/>
          <w:i/>
          <w:iCs/>
          <w:color w:val="131413"/>
          <w:sz w:val="24"/>
          <w:szCs w:val="24"/>
        </w:rPr>
        <w:t>Int J Periodontics Restorative Dent</w:t>
      </w:r>
      <w:r w:rsidRPr="003764E2">
        <w:rPr>
          <w:rFonts w:ascii="Times New Roman" w:hAnsi="Times New Roman"/>
          <w:color w:val="131413"/>
          <w:sz w:val="24"/>
          <w:szCs w:val="24"/>
        </w:rPr>
        <w:t xml:space="preserve"> 29: 141–151.</w:t>
      </w:r>
      <w:r w:rsidR="00351170" w:rsidRPr="003764E2">
        <w:rPr>
          <w:rFonts w:ascii="Times New Roman" w:hAnsi="Times New Roman"/>
          <w:color w:val="131413"/>
          <w:sz w:val="24"/>
          <w:szCs w:val="24"/>
        </w:rPr>
        <w:t xml:space="preserve"> https://pubmed.ncbi.nlm.nih.gov/19408476</w:t>
      </w:r>
    </w:p>
    <w:p w14:paraId="33DE2B33" w14:textId="0C0C408D" w:rsidR="001612D5" w:rsidRDefault="00000000" w:rsidP="001647C5">
      <w:pPr>
        <w:pStyle w:val="Prrafodelista"/>
        <w:numPr>
          <w:ilvl w:val="0"/>
          <w:numId w:val="4"/>
        </w:numPr>
        <w:spacing w:line="300" w:lineRule="atLeast"/>
        <w:ind w:firstLineChars="0"/>
        <w:rPr>
          <w:rFonts w:ascii="Times New Roman" w:eastAsia="Times New Roman" w:hAnsi="Times New Roman"/>
          <w:color w:val="212121"/>
          <w:sz w:val="24"/>
          <w:szCs w:val="24"/>
          <w:shd w:val="clear" w:color="auto" w:fill="FFFFFF"/>
        </w:rPr>
      </w:pPr>
      <w:proofErr w:type="spellStart"/>
      <w:r w:rsidRPr="003764E2">
        <w:rPr>
          <w:rFonts w:ascii="Times New Roman" w:eastAsia="Times New Roman" w:hAnsi="Times New Roman"/>
          <w:color w:val="212121"/>
          <w:sz w:val="24"/>
          <w:szCs w:val="24"/>
          <w:shd w:val="clear" w:color="auto" w:fill="FFFFFF"/>
          <w:lang w:val="es-ES"/>
        </w:rPr>
        <w:t>Kadkhodazadeh</w:t>
      </w:r>
      <w:proofErr w:type="spellEnd"/>
      <w:r w:rsidRPr="003764E2">
        <w:rPr>
          <w:rFonts w:ascii="Times New Roman" w:eastAsia="Times New Roman" w:hAnsi="Times New Roman"/>
          <w:color w:val="212121"/>
          <w:sz w:val="24"/>
          <w:szCs w:val="24"/>
          <w:shd w:val="clear" w:color="auto" w:fill="FFFFFF"/>
          <w:lang w:val="es-ES"/>
        </w:rPr>
        <w:t xml:space="preserve"> M, Safi Y, </w:t>
      </w:r>
      <w:proofErr w:type="spellStart"/>
      <w:r w:rsidRPr="003764E2">
        <w:rPr>
          <w:rFonts w:ascii="Times New Roman" w:eastAsia="Times New Roman" w:hAnsi="Times New Roman"/>
          <w:color w:val="212121"/>
          <w:sz w:val="24"/>
          <w:szCs w:val="24"/>
          <w:shd w:val="clear" w:color="auto" w:fill="FFFFFF"/>
          <w:lang w:val="es-ES"/>
        </w:rPr>
        <w:t>Moeintaghavi</w:t>
      </w:r>
      <w:proofErr w:type="spellEnd"/>
      <w:r w:rsidRPr="003764E2">
        <w:rPr>
          <w:rFonts w:ascii="Times New Roman" w:eastAsia="Times New Roman" w:hAnsi="Times New Roman"/>
          <w:color w:val="212121"/>
          <w:sz w:val="24"/>
          <w:szCs w:val="24"/>
          <w:shd w:val="clear" w:color="auto" w:fill="FFFFFF"/>
          <w:lang w:val="es-ES"/>
        </w:rPr>
        <w:t xml:space="preserve"> A, et al. </w:t>
      </w:r>
      <w:r>
        <w:rPr>
          <w:rFonts w:ascii="Times New Roman" w:eastAsia="Times New Roman" w:hAnsi="Times New Roman"/>
          <w:color w:val="212121"/>
          <w:sz w:val="24"/>
          <w:szCs w:val="24"/>
          <w:shd w:val="clear" w:color="auto" w:fill="FFFFFF"/>
        </w:rPr>
        <w:t xml:space="preserve">(2019) Marginal bone loss around one-piece implants: a 10-year radiological and clinical follow-up evaluation. </w:t>
      </w:r>
      <w:r>
        <w:rPr>
          <w:rFonts w:ascii="Times New Roman" w:eastAsia="Times New Roman" w:hAnsi="Times New Roman"/>
          <w:i/>
          <w:iCs/>
          <w:color w:val="212121"/>
          <w:sz w:val="24"/>
          <w:szCs w:val="24"/>
          <w:shd w:val="clear" w:color="auto" w:fill="FFFFFF"/>
        </w:rPr>
        <w:t>Implant Dent</w:t>
      </w:r>
      <w:r>
        <w:rPr>
          <w:rFonts w:ascii="Times New Roman" w:eastAsia="Times New Roman" w:hAnsi="Times New Roman"/>
          <w:color w:val="212121"/>
          <w:sz w:val="24"/>
          <w:szCs w:val="24"/>
          <w:shd w:val="clear" w:color="auto" w:fill="FFFFFF"/>
        </w:rPr>
        <w:t xml:space="preserve"> 28: 237</w:t>
      </w:r>
      <w:r>
        <w:rPr>
          <w:rFonts w:ascii="Times New Roman" w:hAnsi="Times New Roman"/>
          <w:sz w:val="24"/>
          <w:szCs w:val="24"/>
          <w:lang w:val="es-ES"/>
        </w:rPr>
        <w:t>–</w:t>
      </w:r>
      <w:r>
        <w:rPr>
          <w:rFonts w:ascii="Times New Roman" w:eastAsia="Times New Roman" w:hAnsi="Times New Roman"/>
          <w:color w:val="212121"/>
          <w:sz w:val="24"/>
          <w:szCs w:val="24"/>
          <w:shd w:val="clear" w:color="auto" w:fill="FFFFFF"/>
        </w:rPr>
        <w:t>243.</w:t>
      </w:r>
      <w:r w:rsidR="00351170">
        <w:rPr>
          <w:rFonts w:ascii="Times New Roman" w:eastAsia="Times New Roman" w:hAnsi="Times New Roman"/>
          <w:color w:val="212121"/>
          <w:sz w:val="24"/>
          <w:szCs w:val="24"/>
          <w:shd w:val="clear" w:color="auto" w:fill="FFFFFF"/>
        </w:rPr>
        <w:t xml:space="preserve"> </w:t>
      </w:r>
      <w:r w:rsidR="001647C5" w:rsidRPr="00444F98">
        <w:rPr>
          <w:rFonts w:ascii="Times New Roman" w:eastAsia="Times New Roman" w:hAnsi="Times New Roman"/>
          <w:color w:val="212121"/>
          <w:spacing w:val="-2"/>
          <w:sz w:val="24"/>
          <w:szCs w:val="24"/>
          <w:shd w:val="clear" w:color="auto" w:fill="FFFFFF"/>
        </w:rPr>
        <w:t>https://doi.org/</w:t>
      </w:r>
      <w:r w:rsidR="00351170" w:rsidRPr="00351170">
        <w:rPr>
          <w:rFonts w:ascii="Times New Roman" w:eastAsia="Times New Roman" w:hAnsi="Times New Roman"/>
          <w:color w:val="212121"/>
          <w:sz w:val="24"/>
          <w:szCs w:val="24"/>
          <w:shd w:val="clear" w:color="auto" w:fill="FFFFFF"/>
        </w:rPr>
        <w:t>10.1097/ID.0000000000000861</w:t>
      </w:r>
    </w:p>
    <w:p w14:paraId="6D2C0A7B" w14:textId="4D151E4A" w:rsidR="001612D5" w:rsidRDefault="00000000" w:rsidP="001647C5">
      <w:pPr>
        <w:pStyle w:val="Prrafodelista"/>
        <w:numPr>
          <w:ilvl w:val="0"/>
          <w:numId w:val="4"/>
        </w:numPr>
        <w:spacing w:line="300" w:lineRule="atLeast"/>
        <w:ind w:firstLineChars="0"/>
        <w:rPr>
          <w:rFonts w:ascii="Times New Roman" w:hAnsi="Times New Roman"/>
          <w:color w:val="131413"/>
          <w:sz w:val="24"/>
          <w:szCs w:val="24"/>
        </w:rPr>
      </w:pPr>
      <w:proofErr w:type="spellStart"/>
      <w:r>
        <w:rPr>
          <w:rFonts w:ascii="Times New Roman" w:hAnsi="Times New Roman"/>
          <w:color w:val="131413"/>
          <w:sz w:val="24"/>
          <w:szCs w:val="24"/>
        </w:rPr>
        <w:t>Linkevicius</w:t>
      </w:r>
      <w:proofErr w:type="spellEnd"/>
      <w:r>
        <w:rPr>
          <w:rFonts w:ascii="Times New Roman" w:hAnsi="Times New Roman"/>
          <w:color w:val="131413"/>
          <w:sz w:val="24"/>
          <w:szCs w:val="24"/>
        </w:rPr>
        <w:t xml:space="preserve"> T, Apse P, </w:t>
      </w:r>
      <w:proofErr w:type="spellStart"/>
      <w:r>
        <w:rPr>
          <w:rFonts w:ascii="Times New Roman" w:hAnsi="Times New Roman"/>
          <w:color w:val="131413"/>
          <w:sz w:val="24"/>
          <w:szCs w:val="24"/>
        </w:rPr>
        <w:t>Grybauskas</w:t>
      </w:r>
      <w:proofErr w:type="spellEnd"/>
      <w:r>
        <w:rPr>
          <w:rFonts w:ascii="Times New Roman" w:hAnsi="Times New Roman"/>
          <w:color w:val="131413"/>
          <w:sz w:val="24"/>
          <w:szCs w:val="24"/>
        </w:rPr>
        <w:t xml:space="preserve"> S, et al. (2009) The influence of soft tissue thickness on crestal bone changes around implants: a 1-year prospective controlled clinical trial. </w:t>
      </w:r>
      <w:r>
        <w:rPr>
          <w:rFonts w:ascii="Times New Roman" w:hAnsi="Times New Roman"/>
          <w:i/>
          <w:iCs/>
          <w:color w:val="131413"/>
          <w:sz w:val="24"/>
          <w:szCs w:val="24"/>
        </w:rPr>
        <w:t xml:space="preserve">Int J Oral </w:t>
      </w:r>
      <w:proofErr w:type="spellStart"/>
      <w:r>
        <w:rPr>
          <w:rFonts w:ascii="Times New Roman" w:hAnsi="Times New Roman"/>
          <w:i/>
          <w:iCs/>
          <w:color w:val="131413"/>
          <w:sz w:val="24"/>
          <w:szCs w:val="24"/>
        </w:rPr>
        <w:t>Maxillofac</w:t>
      </w:r>
      <w:proofErr w:type="spellEnd"/>
      <w:r>
        <w:rPr>
          <w:rFonts w:ascii="Times New Roman" w:hAnsi="Times New Roman"/>
          <w:i/>
          <w:iCs/>
          <w:color w:val="131413"/>
          <w:sz w:val="24"/>
          <w:szCs w:val="24"/>
        </w:rPr>
        <w:t xml:space="preserve"> Implants </w:t>
      </w:r>
      <w:r>
        <w:rPr>
          <w:rFonts w:ascii="Times New Roman" w:hAnsi="Times New Roman"/>
          <w:color w:val="131413"/>
          <w:sz w:val="24"/>
          <w:szCs w:val="24"/>
        </w:rPr>
        <w:t>24: 712–719.</w:t>
      </w:r>
      <w:r w:rsidR="001647C5">
        <w:rPr>
          <w:rFonts w:ascii="Times New Roman" w:hAnsi="Times New Roman"/>
          <w:color w:val="131413"/>
          <w:sz w:val="24"/>
          <w:szCs w:val="24"/>
        </w:rPr>
        <w:t xml:space="preserve"> </w:t>
      </w:r>
      <w:r w:rsidR="001647C5" w:rsidRPr="001647C5">
        <w:rPr>
          <w:rFonts w:ascii="Times New Roman" w:hAnsi="Times New Roman"/>
          <w:color w:val="131413"/>
          <w:sz w:val="24"/>
          <w:szCs w:val="24"/>
        </w:rPr>
        <w:t>https://pubmed.ncbi.nlm.nih.gov/19885413</w:t>
      </w:r>
    </w:p>
    <w:p w14:paraId="4D9B1169" w14:textId="3E37D825" w:rsidR="001612D5" w:rsidRPr="003764E2" w:rsidRDefault="00000000" w:rsidP="001647C5">
      <w:pPr>
        <w:pStyle w:val="Prrafodelista"/>
        <w:numPr>
          <w:ilvl w:val="0"/>
          <w:numId w:val="4"/>
        </w:numPr>
        <w:spacing w:line="300" w:lineRule="atLeast"/>
        <w:ind w:firstLineChars="0"/>
        <w:rPr>
          <w:rFonts w:ascii="Times New Roman" w:hAnsi="Times New Roman"/>
          <w:color w:val="131413"/>
          <w:sz w:val="24"/>
          <w:szCs w:val="24"/>
        </w:rPr>
      </w:pPr>
      <w:proofErr w:type="spellStart"/>
      <w:r>
        <w:rPr>
          <w:rFonts w:ascii="Times New Roman" w:hAnsi="Times New Roman"/>
          <w:color w:val="131413"/>
          <w:sz w:val="24"/>
          <w:szCs w:val="24"/>
        </w:rPr>
        <w:t>Clementini</w:t>
      </w:r>
      <w:proofErr w:type="spellEnd"/>
      <w:r>
        <w:rPr>
          <w:rFonts w:ascii="Times New Roman" w:hAnsi="Times New Roman"/>
          <w:color w:val="131413"/>
          <w:sz w:val="24"/>
          <w:szCs w:val="24"/>
        </w:rPr>
        <w:t xml:space="preserve"> M, Rossetti PH, </w:t>
      </w:r>
      <w:proofErr w:type="spellStart"/>
      <w:r>
        <w:rPr>
          <w:rFonts w:ascii="Times New Roman" w:hAnsi="Times New Roman"/>
          <w:color w:val="131413"/>
          <w:sz w:val="24"/>
          <w:szCs w:val="24"/>
        </w:rPr>
        <w:t>Penarrocha</w:t>
      </w:r>
      <w:proofErr w:type="spellEnd"/>
      <w:r>
        <w:rPr>
          <w:rFonts w:ascii="Times New Roman" w:hAnsi="Times New Roman"/>
          <w:color w:val="131413"/>
          <w:sz w:val="24"/>
          <w:szCs w:val="24"/>
        </w:rPr>
        <w:t xml:space="preserve"> D, et al. (2014) Systemic risk factors for peri-implant bone loss: a systematic review and meta-analysis. </w:t>
      </w:r>
      <w:r w:rsidRPr="003764E2">
        <w:rPr>
          <w:rFonts w:ascii="Times New Roman" w:hAnsi="Times New Roman"/>
          <w:i/>
          <w:iCs/>
          <w:color w:val="131413"/>
          <w:sz w:val="24"/>
          <w:szCs w:val="24"/>
        </w:rPr>
        <w:t xml:space="preserve">Int J Oral </w:t>
      </w:r>
      <w:proofErr w:type="spellStart"/>
      <w:r w:rsidRPr="003764E2">
        <w:rPr>
          <w:rFonts w:ascii="Times New Roman" w:hAnsi="Times New Roman"/>
          <w:i/>
          <w:iCs/>
          <w:color w:val="131413"/>
          <w:sz w:val="24"/>
          <w:szCs w:val="24"/>
        </w:rPr>
        <w:t>Maxillofac</w:t>
      </w:r>
      <w:proofErr w:type="spellEnd"/>
      <w:r w:rsidRPr="003764E2">
        <w:rPr>
          <w:rFonts w:ascii="Times New Roman" w:hAnsi="Times New Roman"/>
          <w:i/>
          <w:iCs/>
          <w:color w:val="131413"/>
          <w:sz w:val="24"/>
          <w:szCs w:val="24"/>
        </w:rPr>
        <w:t xml:space="preserve"> Surg</w:t>
      </w:r>
      <w:r w:rsidRPr="003764E2">
        <w:rPr>
          <w:rFonts w:ascii="Times New Roman" w:hAnsi="Times New Roman"/>
          <w:color w:val="131413"/>
          <w:sz w:val="24"/>
          <w:szCs w:val="24"/>
        </w:rPr>
        <w:t xml:space="preserve"> 43: 323–334.</w:t>
      </w:r>
      <w:r w:rsidR="001647C5" w:rsidRPr="003764E2">
        <w:rPr>
          <w:rFonts w:ascii="Times New Roman" w:hAnsi="Times New Roman"/>
          <w:color w:val="131413"/>
          <w:sz w:val="24"/>
          <w:szCs w:val="24"/>
        </w:rPr>
        <w:t xml:space="preserve"> </w:t>
      </w:r>
      <w:r w:rsidR="001647C5" w:rsidRPr="00444F98">
        <w:rPr>
          <w:rFonts w:ascii="Times New Roman" w:eastAsia="Times New Roman" w:hAnsi="Times New Roman"/>
          <w:color w:val="212121"/>
          <w:spacing w:val="-2"/>
          <w:sz w:val="24"/>
          <w:szCs w:val="24"/>
          <w:shd w:val="clear" w:color="auto" w:fill="FFFFFF"/>
        </w:rPr>
        <w:t>https://doi.org/</w:t>
      </w:r>
      <w:r w:rsidR="001647C5" w:rsidRPr="003764E2">
        <w:rPr>
          <w:rFonts w:ascii="Times New Roman" w:hAnsi="Times New Roman"/>
          <w:color w:val="131413"/>
          <w:sz w:val="24"/>
          <w:szCs w:val="24"/>
        </w:rPr>
        <w:t>10.1016/j.ijom.2013.11.012</w:t>
      </w:r>
    </w:p>
    <w:p w14:paraId="50F7C561" w14:textId="7F6BE66B" w:rsidR="001612D5" w:rsidRDefault="00000000" w:rsidP="001647C5">
      <w:pPr>
        <w:pStyle w:val="Prrafodelista"/>
        <w:numPr>
          <w:ilvl w:val="0"/>
          <w:numId w:val="4"/>
        </w:numPr>
        <w:spacing w:line="300" w:lineRule="atLeast"/>
        <w:ind w:firstLineChars="0"/>
        <w:rPr>
          <w:rFonts w:ascii="Times New Roman" w:hAnsi="Times New Roman"/>
          <w:sz w:val="24"/>
          <w:szCs w:val="24"/>
        </w:rPr>
      </w:pPr>
      <w:r>
        <w:rPr>
          <w:rFonts w:ascii="Times New Roman" w:hAnsi="Times New Roman"/>
          <w:sz w:val="24"/>
          <w:szCs w:val="24"/>
          <w:lang w:val="es-ES"/>
        </w:rPr>
        <w:t xml:space="preserve">Romanos GE, </w:t>
      </w:r>
      <w:proofErr w:type="spellStart"/>
      <w:r>
        <w:rPr>
          <w:rFonts w:ascii="Times New Roman" w:hAnsi="Times New Roman"/>
          <w:sz w:val="24"/>
          <w:szCs w:val="24"/>
          <w:lang w:val="es-ES"/>
        </w:rPr>
        <w:t>Javed</w:t>
      </w:r>
      <w:proofErr w:type="spellEnd"/>
      <w:r>
        <w:rPr>
          <w:rFonts w:ascii="Times New Roman" w:hAnsi="Times New Roman"/>
          <w:sz w:val="24"/>
          <w:szCs w:val="24"/>
          <w:lang w:val="es-ES"/>
        </w:rPr>
        <w:t xml:space="preserve"> F, Delgado-Ruiz RA, et al. </w:t>
      </w:r>
      <w:r>
        <w:rPr>
          <w:rFonts w:ascii="Times New Roman" w:hAnsi="Times New Roman"/>
          <w:sz w:val="24"/>
          <w:szCs w:val="24"/>
        </w:rPr>
        <w:t xml:space="preserve">(2015) Peri-implant diseases: a review of treatment interventions. </w:t>
      </w:r>
      <w:r>
        <w:rPr>
          <w:rFonts w:ascii="Times New Roman" w:hAnsi="Times New Roman"/>
          <w:i/>
          <w:iCs/>
          <w:sz w:val="24"/>
          <w:szCs w:val="24"/>
        </w:rPr>
        <w:t>Dent Clin North Am</w:t>
      </w:r>
      <w:r>
        <w:rPr>
          <w:rFonts w:ascii="Times New Roman" w:hAnsi="Times New Roman"/>
          <w:sz w:val="24"/>
          <w:szCs w:val="24"/>
        </w:rPr>
        <w:t xml:space="preserve"> 59: 157</w:t>
      </w:r>
      <w:r>
        <w:rPr>
          <w:rFonts w:ascii="Times New Roman" w:hAnsi="Times New Roman"/>
          <w:sz w:val="24"/>
          <w:szCs w:val="24"/>
          <w:lang w:val="es-ES"/>
        </w:rPr>
        <w:t>–</w:t>
      </w:r>
      <w:r>
        <w:rPr>
          <w:rFonts w:ascii="Times New Roman" w:hAnsi="Times New Roman"/>
          <w:sz w:val="24"/>
          <w:szCs w:val="24"/>
        </w:rPr>
        <w:t>178. https://doi.org/10.1016/j.cden.2014.08.002</w:t>
      </w:r>
    </w:p>
    <w:p w14:paraId="4C5C0B14" w14:textId="34811048" w:rsidR="001612D5" w:rsidRDefault="00000000" w:rsidP="001647C5">
      <w:pPr>
        <w:pStyle w:val="Prrafodelista"/>
        <w:numPr>
          <w:ilvl w:val="0"/>
          <w:numId w:val="4"/>
        </w:numPr>
        <w:spacing w:line="300" w:lineRule="atLeast"/>
        <w:ind w:firstLineChars="0"/>
        <w:rPr>
          <w:rFonts w:ascii="Times New Roman" w:hAnsi="Times New Roman"/>
          <w:bCs/>
          <w:sz w:val="24"/>
          <w:szCs w:val="24"/>
        </w:rPr>
      </w:pPr>
      <w:proofErr w:type="spellStart"/>
      <w:r>
        <w:rPr>
          <w:rFonts w:ascii="Times New Roman" w:hAnsi="Times New Roman"/>
          <w:sz w:val="24"/>
          <w:szCs w:val="24"/>
        </w:rPr>
        <w:t>Fickl</w:t>
      </w:r>
      <w:proofErr w:type="spellEnd"/>
      <w:r>
        <w:rPr>
          <w:rFonts w:ascii="Times New Roman" w:hAnsi="Times New Roman"/>
          <w:sz w:val="24"/>
          <w:szCs w:val="24"/>
        </w:rPr>
        <w:t xml:space="preserve"> S, </w:t>
      </w:r>
      <w:proofErr w:type="spellStart"/>
      <w:r>
        <w:rPr>
          <w:rFonts w:ascii="Times New Roman" w:hAnsi="Times New Roman"/>
          <w:sz w:val="24"/>
          <w:szCs w:val="24"/>
        </w:rPr>
        <w:t>Kebschull</w:t>
      </w:r>
      <w:proofErr w:type="spellEnd"/>
      <w:r>
        <w:rPr>
          <w:rFonts w:ascii="Times New Roman" w:hAnsi="Times New Roman"/>
          <w:sz w:val="24"/>
          <w:szCs w:val="24"/>
        </w:rPr>
        <w:t xml:space="preserve"> M, Calvo-</w:t>
      </w:r>
      <w:proofErr w:type="spellStart"/>
      <w:r>
        <w:rPr>
          <w:rFonts w:ascii="Times New Roman" w:hAnsi="Times New Roman"/>
          <w:sz w:val="24"/>
          <w:szCs w:val="24"/>
        </w:rPr>
        <w:t>Guirado</w:t>
      </w:r>
      <w:proofErr w:type="spellEnd"/>
      <w:r>
        <w:rPr>
          <w:rFonts w:ascii="Times New Roman" w:hAnsi="Times New Roman"/>
          <w:sz w:val="24"/>
          <w:szCs w:val="24"/>
        </w:rPr>
        <w:t xml:space="preserve"> JL, et al. (2015) Experimental peri-implantitis around different types of implants-a clinical and radiographic study in dogs. </w:t>
      </w:r>
      <w:r>
        <w:rPr>
          <w:rFonts w:ascii="Times New Roman" w:hAnsi="Times New Roman"/>
          <w:i/>
          <w:iCs/>
          <w:sz w:val="24"/>
          <w:szCs w:val="24"/>
        </w:rPr>
        <w:t xml:space="preserve">Clin Implant Dent </w:t>
      </w:r>
      <w:proofErr w:type="spellStart"/>
      <w:r>
        <w:rPr>
          <w:rFonts w:ascii="Times New Roman" w:hAnsi="Times New Roman"/>
          <w:i/>
          <w:iCs/>
          <w:sz w:val="24"/>
          <w:szCs w:val="24"/>
        </w:rPr>
        <w:t>Relat</w:t>
      </w:r>
      <w:proofErr w:type="spellEnd"/>
      <w:r>
        <w:rPr>
          <w:rFonts w:ascii="Times New Roman" w:hAnsi="Times New Roman"/>
          <w:i/>
          <w:iCs/>
          <w:sz w:val="24"/>
          <w:szCs w:val="24"/>
        </w:rPr>
        <w:t xml:space="preserve"> </w:t>
      </w:r>
      <w:r>
        <w:rPr>
          <w:rFonts w:ascii="Times New Roman" w:hAnsi="Times New Roman"/>
          <w:i/>
          <w:iCs/>
          <w:sz w:val="24"/>
          <w:szCs w:val="24"/>
        </w:rPr>
        <w:br/>
        <w:t>Res</w:t>
      </w:r>
      <w:r>
        <w:rPr>
          <w:rFonts w:ascii="Times New Roman" w:hAnsi="Times New Roman"/>
          <w:sz w:val="24"/>
          <w:szCs w:val="24"/>
        </w:rPr>
        <w:t xml:space="preserve"> 17: e661</w:t>
      </w:r>
      <w:r w:rsidRPr="003764E2">
        <w:rPr>
          <w:rFonts w:ascii="Times New Roman" w:hAnsi="Times New Roman"/>
          <w:sz w:val="24"/>
          <w:szCs w:val="24"/>
        </w:rPr>
        <w:t>–</w:t>
      </w:r>
      <w:r>
        <w:rPr>
          <w:rFonts w:ascii="Times New Roman" w:hAnsi="Times New Roman"/>
          <w:sz w:val="24"/>
          <w:szCs w:val="24"/>
        </w:rPr>
        <w:t>669.</w:t>
      </w:r>
      <w:r w:rsidR="001647C5">
        <w:rPr>
          <w:rFonts w:ascii="Times New Roman" w:hAnsi="Times New Roman"/>
          <w:sz w:val="24"/>
          <w:szCs w:val="24"/>
        </w:rPr>
        <w:t xml:space="preserve"> </w:t>
      </w:r>
      <w:r w:rsidR="001647C5" w:rsidRPr="001647C5">
        <w:rPr>
          <w:rFonts w:ascii="Times New Roman" w:hAnsi="Times New Roman"/>
          <w:sz w:val="24"/>
          <w:szCs w:val="24"/>
        </w:rPr>
        <w:t>https://doi.org/10.1111/cid.12303</w:t>
      </w:r>
    </w:p>
    <w:p w14:paraId="0221ED3D" w14:textId="61C83DB5" w:rsidR="001612D5" w:rsidRDefault="00000000" w:rsidP="001647C5">
      <w:pPr>
        <w:pStyle w:val="Prrafodelista"/>
        <w:numPr>
          <w:ilvl w:val="0"/>
          <w:numId w:val="4"/>
        </w:numPr>
        <w:spacing w:line="300" w:lineRule="atLeast"/>
        <w:ind w:firstLineChars="0"/>
        <w:rPr>
          <w:rFonts w:ascii="Times New Roman" w:hAnsi="Times New Roman"/>
          <w:bCs/>
          <w:sz w:val="24"/>
          <w:szCs w:val="24"/>
        </w:rPr>
      </w:pPr>
      <w:proofErr w:type="spellStart"/>
      <w:r>
        <w:rPr>
          <w:rFonts w:ascii="Times New Roman" w:hAnsi="Times New Roman"/>
          <w:bCs/>
          <w:sz w:val="24"/>
          <w:szCs w:val="24"/>
        </w:rPr>
        <w:t>Bodic</w:t>
      </w:r>
      <w:proofErr w:type="spellEnd"/>
      <w:r>
        <w:rPr>
          <w:rFonts w:ascii="Times New Roman" w:hAnsi="Times New Roman"/>
          <w:bCs/>
          <w:sz w:val="24"/>
          <w:szCs w:val="24"/>
        </w:rPr>
        <w:t xml:space="preserve"> F, </w:t>
      </w:r>
      <w:proofErr w:type="spellStart"/>
      <w:r>
        <w:rPr>
          <w:rFonts w:ascii="Times New Roman" w:hAnsi="Times New Roman"/>
          <w:bCs/>
          <w:sz w:val="24"/>
          <w:szCs w:val="24"/>
        </w:rPr>
        <w:t>Amouriq</w:t>
      </w:r>
      <w:proofErr w:type="spellEnd"/>
      <w:r>
        <w:rPr>
          <w:rFonts w:ascii="Times New Roman" w:hAnsi="Times New Roman"/>
          <w:bCs/>
          <w:sz w:val="24"/>
          <w:szCs w:val="24"/>
        </w:rPr>
        <w:t xml:space="preserve"> Y, </w:t>
      </w:r>
      <w:proofErr w:type="spellStart"/>
      <w:r>
        <w:rPr>
          <w:rFonts w:ascii="Times New Roman" w:hAnsi="Times New Roman"/>
          <w:bCs/>
          <w:sz w:val="24"/>
          <w:szCs w:val="24"/>
        </w:rPr>
        <w:t>Gayet</w:t>
      </w:r>
      <w:proofErr w:type="spellEnd"/>
      <w:r>
        <w:rPr>
          <w:rFonts w:ascii="Times New Roman" w:hAnsi="Times New Roman"/>
          <w:bCs/>
          <w:sz w:val="24"/>
          <w:szCs w:val="24"/>
        </w:rPr>
        <w:t xml:space="preserve">-Delacroix M, et al. (2012) Relationships between bone mass and micro-architecture at the mandible and iliac bone in edentulous subjects: a dual X-ray absorptiometry, </w:t>
      </w:r>
      <w:proofErr w:type="spellStart"/>
      <w:r>
        <w:rPr>
          <w:rFonts w:ascii="Times New Roman" w:hAnsi="Times New Roman"/>
          <w:bCs/>
          <w:sz w:val="24"/>
          <w:szCs w:val="24"/>
        </w:rPr>
        <w:t>computerised</w:t>
      </w:r>
      <w:proofErr w:type="spellEnd"/>
      <w:r>
        <w:rPr>
          <w:rFonts w:ascii="Times New Roman" w:hAnsi="Times New Roman"/>
          <w:bCs/>
          <w:sz w:val="24"/>
          <w:szCs w:val="24"/>
        </w:rPr>
        <w:t xml:space="preserve"> tomography and microcomputed tomography study.</w:t>
      </w:r>
      <w:r>
        <w:rPr>
          <w:rFonts w:ascii="Times New Roman" w:hAnsi="Times New Roman"/>
          <w:bCs/>
          <w:i/>
          <w:iCs/>
          <w:sz w:val="24"/>
          <w:szCs w:val="24"/>
        </w:rPr>
        <w:t xml:space="preserve">  </w:t>
      </w:r>
      <w:proofErr w:type="spellStart"/>
      <w:r>
        <w:rPr>
          <w:rFonts w:ascii="Times New Roman" w:hAnsi="Times New Roman"/>
          <w:bCs/>
          <w:i/>
          <w:iCs/>
          <w:sz w:val="24"/>
          <w:szCs w:val="24"/>
        </w:rPr>
        <w:t>Gerodontology</w:t>
      </w:r>
      <w:proofErr w:type="spellEnd"/>
      <w:r>
        <w:rPr>
          <w:rFonts w:ascii="Times New Roman" w:hAnsi="Times New Roman"/>
          <w:bCs/>
          <w:i/>
          <w:iCs/>
          <w:sz w:val="24"/>
          <w:szCs w:val="24"/>
        </w:rPr>
        <w:t xml:space="preserve"> </w:t>
      </w:r>
      <w:r>
        <w:rPr>
          <w:rFonts w:ascii="Times New Roman" w:hAnsi="Times New Roman"/>
          <w:bCs/>
          <w:sz w:val="24"/>
          <w:szCs w:val="24"/>
        </w:rPr>
        <w:t>29: e585</w:t>
      </w:r>
      <w:r>
        <w:rPr>
          <w:rFonts w:ascii="Times New Roman" w:hAnsi="Times New Roman"/>
          <w:sz w:val="24"/>
          <w:szCs w:val="24"/>
          <w:lang w:val="es-ES"/>
        </w:rPr>
        <w:t>–5</w:t>
      </w:r>
      <w:r>
        <w:rPr>
          <w:rFonts w:ascii="Times New Roman" w:hAnsi="Times New Roman"/>
          <w:bCs/>
          <w:sz w:val="24"/>
          <w:szCs w:val="24"/>
        </w:rPr>
        <w:t>94.</w:t>
      </w:r>
      <w:r w:rsidR="001647C5">
        <w:rPr>
          <w:rFonts w:ascii="Times New Roman" w:hAnsi="Times New Roman"/>
          <w:bCs/>
          <w:sz w:val="24"/>
          <w:szCs w:val="24"/>
        </w:rPr>
        <w:t xml:space="preserve"> </w:t>
      </w:r>
      <w:r w:rsidR="001647C5" w:rsidRPr="001647C5">
        <w:rPr>
          <w:rFonts w:ascii="Times New Roman" w:hAnsi="Times New Roman"/>
          <w:bCs/>
          <w:sz w:val="24"/>
          <w:szCs w:val="24"/>
        </w:rPr>
        <w:t>https://doi.org/10.1111/j.1741-2358.2011.00527.x</w:t>
      </w:r>
    </w:p>
    <w:p w14:paraId="6A96F102" w14:textId="659D4D63" w:rsidR="001612D5"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rPr>
      </w:pPr>
      <w:r>
        <w:rPr>
          <w:rFonts w:ascii="Times New Roman" w:hAnsi="Times New Roman"/>
          <w:color w:val="000000" w:themeColor="text1"/>
          <w:sz w:val="24"/>
          <w:szCs w:val="24"/>
        </w:rPr>
        <w:t xml:space="preserve">Hounsfield, G.N. (1973) Computerized transverse axial scanning (tomography): description of system. </w:t>
      </w:r>
      <w:r>
        <w:rPr>
          <w:rFonts w:ascii="Times New Roman" w:hAnsi="Times New Roman"/>
          <w:i/>
          <w:iCs/>
          <w:color w:val="000000" w:themeColor="text1"/>
          <w:sz w:val="24"/>
          <w:szCs w:val="24"/>
        </w:rPr>
        <w:t xml:space="preserve">Br J </w:t>
      </w:r>
      <w:proofErr w:type="spellStart"/>
      <w:r>
        <w:rPr>
          <w:rFonts w:ascii="Times New Roman" w:hAnsi="Times New Roman"/>
          <w:i/>
          <w:iCs/>
          <w:color w:val="000000" w:themeColor="text1"/>
          <w:sz w:val="24"/>
          <w:szCs w:val="24"/>
        </w:rPr>
        <w:t>Radiol</w:t>
      </w:r>
      <w:proofErr w:type="spellEnd"/>
      <w:r>
        <w:rPr>
          <w:rFonts w:ascii="Times New Roman" w:hAnsi="Times New Roman"/>
          <w:i/>
          <w:iCs/>
          <w:color w:val="000000" w:themeColor="text1"/>
          <w:sz w:val="24"/>
          <w:szCs w:val="24"/>
        </w:rPr>
        <w:t xml:space="preserve"> </w:t>
      </w:r>
      <w:r>
        <w:rPr>
          <w:rFonts w:ascii="Times New Roman" w:hAnsi="Times New Roman"/>
          <w:color w:val="000000" w:themeColor="text1"/>
          <w:sz w:val="24"/>
          <w:szCs w:val="24"/>
        </w:rPr>
        <w:t>46: 1016–1022.</w:t>
      </w:r>
      <w:r w:rsidR="00404595">
        <w:rPr>
          <w:rFonts w:ascii="Times New Roman" w:hAnsi="Times New Roman"/>
          <w:color w:val="000000" w:themeColor="text1"/>
          <w:sz w:val="24"/>
          <w:szCs w:val="24"/>
        </w:rPr>
        <w:t xml:space="preserve"> </w:t>
      </w:r>
      <w:r w:rsidR="00404595" w:rsidRPr="00404595">
        <w:rPr>
          <w:rFonts w:ascii="Times New Roman" w:hAnsi="Times New Roman"/>
          <w:color w:val="000000" w:themeColor="text1"/>
          <w:sz w:val="24"/>
          <w:szCs w:val="24"/>
        </w:rPr>
        <w:t>https://doi.org/10.1259/0007-1285-46-552-1016</w:t>
      </w:r>
    </w:p>
    <w:p w14:paraId="3BA8CE3E" w14:textId="4312917F" w:rsidR="001612D5"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rPr>
      </w:pPr>
      <w:proofErr w:type="spellStart"/>
      <w:r w:rsidRPr="003764E2">
        <w:rPr>
          <w:rFonts w:ascii="Times New Roman" w:hAnsi="Times New Roman"/>
          <w:color w:val="000000" w:themeColor="text1"/>
          <w:sz w:val="24"/>
          <w:szCs w:val="24"/>
          <w:lang w:val="es-ES"/>
        </w:rPr>
        <w:t>Lopez</w:t>
      </w:r>
      <w:proofErr w:type="spellEnd"/>
      <w:r w:rsidRPr="003764E2">
        <w:rPr>
          <w:rFonts w:ascii="Times New Roman" w:hAnsi="Times New Roman"/>
          <w:color w:val="000000" w:themeColor="text1"/>
          <w:sz w:val="24"/>
          <w:szCs w:val="24"/>
          <w:lang w:val="es-ES"/>
        </w:rPr>
        <w:t xml:space="preserve">-Valverde N, </w:t>
      </w:r>
      <w:proofErr w:type="spellStart"/>
      <w:r w:rsidRPr="003764E2">
        <w:rPr>
          <w:rFonts w:ascii="Times New Roman" w:hAnsi="Times New Roman"/>
          <w:color w:val="000000" w:themeColor="text1"/>
          <w:sz w:val="24"/>
          <w:szCs w:val="24"/>
          <w:lang w:val="es-ES"/>
        </w:rPr>
        <w:t>Lopez</w:t>
      </w:r>
      <w:proofErr w:type="spellEnd"/>
      <w:r w:rsidRPr="003764E2">
        <w:rPr>
          <w:rFonts w:ascii="Times New Roman" w:hAnsi="Times New Roman"/>
          <w:color w:val="000000" w:themeColor="text1"/>
          <w:sz w:val="24"/>
          <w:szCs w:val="24"/>
          <w:lang w:val="es-ES"/>
        </w:rPr>
        <w:t xml:space="preserve">-Valverde A, </w:t>
      </w:r>
      <w:proofErr w:type="gramStart"/>
      <w:r w:rsidRPr="003764E2">
        <w:rPr>
          <w:rFonts w:ascii="Times New Roman" w:hAnsi="Times New Roman"/>
          <w:color w:val="000000" w:themeColor="text1"/>
          <w:sz w:val="24"/>
          <w:szCs w:val="24"/>
          <w:lang w:val="es-ES"/>
        </w:rPr>
        <w:t>Aragoneses</w:t>
      </w:r>
      <w:proofErr w:type="gramEnd"/>
      <w:r w:rsidRPr="003764E2">
        <w:rPr>
          <w:rFonts w:ascii="Times New Roman" w:hAnsi="Times New Roman"/>
          <w:color w:val="000000" w:themeColor="text1"/>
          <w:sz w:val="24"/>
          <w:szCs w:val="24"/>
          <w:lang w:val="es-ES"/>
        </w:rPr>
        <w:t xml:space="preserve"> JM, et al. </w:t>
      </w:r>
      <w:r>
        <w:rPr>
          <w:rFonts w:ascii="Times New Roman" w:hAnsi="Times New Roman"/>
          <w:color w:val="000000" w:themeColor="text1"/>
          <w:sz w:val="24"/>
          <w:szCs w:val="24"/>
        </w:rPr>
        <w:t xml:space="preserve">(2021) Bone density around titanium dental implants coating tested/coated with chitosan or melatonin: an evaluation via microtomography in jaws of Beagle dogs. </w:t>
      </w:r>
      <w:r>
        <w:rPr>
          <w:rFonts w:ascii="Times New Roman" w:hAnsi="Times New Roman"/>
          <w:i/>
          <w:iCs/>
          <w:color w:val="000000" w:themeColor="text1"/>
          <w:sz w:val="24"/>
          <w:szCs w:val="24"/>
        </w:rPr>
        <w:t xml:space="preserve">Coatings </w:t>
      </w:r>
      <w:r>
        <w:rPr>
          <w:rFonts w:ascii="Times New Roman" w:hAnsi="Times New Roman"/>
          <w:color w:val="000000" w:themeColor="text1"/>
          <w:sz w:val="24"/>
          <w:szCs w:val="24"/>
        </w:rPr>
        <w:t>11: 777. https://doi.org/10.3390/coatings110707</w:t>
      </w:r>
    </w:p>
    <w:p w14:paraId="55FCFC4F" w14:textId="34AF9412" w:rsidR="001612D5"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rPr>
      </w:pPr>
      <w:proofErr w:type="spellStart"/>
      <w:r w:rsidRPr="003764E2">
        <w:rPr>
          <w:rFonts w:ascii="Times New Roman" w:hAnsi="Times New Roman"/>
          <w:color w:val="000000" w:themeColor="text1"/>
          <w:sz w:val="24"/>
          <w:szCs w:val="24"/>
          <w:lang w:val="es-ES"/>
        </w:rPr>
        <w:t>Irie</w:t>
      </w:r>
      <w:proofErr w:type="spellEnd"/>
      <w:r w:rsidRPr="003764E2">
        <w:rPr>
          <w:rFonts w:ascii="Times New Roman" w:hAnsi="Times New Roman"/>
          <w:color w:val="000000" w:themeColor="text1"/>
          <w:sz w:val="24"/>
          <w:szCs w:val="24"/>
          <w:lang w:val="es-ES"/>
        </w:rPr>
        <w:t xml:space="preserve"> MS, Rabelo G, Spin-Neto R, et al. </w:t>
      </w:r>
      <w:r>
        <w:rPr>
          <w:rFonts w:ascii="Times New Roman" w:hAnsi="Times New Roman"/>
          <w:color w:val="000000" w:themeColor="text1"/>
          <w:sz w:val="24"/>
          <w:szCs w:val="24"/>
        </w:rPr>
        <w:t xml:space="preserve">(2018) Use of micro-computed tomography for bone evaluation in dentistry. </w:t>
      </w:r>
      <w:proofErr w:type="spellStart"/>
      <w:r>
        <w:rPr>
          <w:rFonts w:ascii="Times New Roman" w:hAnsi="Times New Roman"/>
          <w:i/>
          <w:iCs/>
          <w:color w:val="000000" w:themeColor="text1"/>
          <w:sz w:val="24"/>
          <w:szCs w:val="24"/>
        </w:rPr>
        <w:t>Braz</w:t>
      </w:r>
      <w:proofErr w:type="spellEnd"/>
      <w:r>
        <w:rPr>
          <w:rFonts w:ascii="Times New Roman" w:hAnsi="Times New Roman"/>
          <w:i/>
          <w:iCs/>
          <w:color w:val="000000" w:themeColor="text1"/>
          <w:sz w:val="24"/>
          <w:szCs w:val="24"/>
        </w:rPr>
        <w:t xml:space="preserve"> Dent J </w:t>
      </w:r>
      <w:r>
        <w:rPr>
          <w:rFonts w:ascii="Times New Roman" w:hAnsi="Times New Roman"/>
          <w:color w:val="000000" w:themeColor="text1"/>
          <w:sz w:val="24"/>
          <w:szCs w:val="24"/>
        </w:rPr>
        <w:t>29: 227–238.</w:t>
      </w:r>
      <w:r w:rsidR="00915823">
        <w:rPr>
          <w:rFonts w:ascii="Times New Roman" w:hAnsi="Times New Roman"/>
          <w:color w:val="000000" w:themeColor="text1"/>
          <w:sz w:val="24"/>
          <w:szCs w:val="24"/>
        </w:rPr>
        <w:t xml:space="preserve"> </w:t>
      </w:r>
      <w:r w:rsidR="00915823" w:rsidRPr="00915823">
        <w:rPr>
          <w:rFonts w:ascii="Times New Roman" w:hAnsi="Times New Roman"/>
          <w:color w:val="000000" w:themeColor="text1"/>
          <w:sz w:val="24"/>
          <w:szCs w:val="24"/>
        </w:rPr>
        <w:t>https://doi.org/10.1590/0103-6440201801979</w:t>
      </w:r>
    </w:p>
    <w:p w14:paraId="65685018" w14:textId="48A3EDA0" w:rsidR="001612D5" w:rsidRPr="003764E2"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lang w:val="es-ES"/>
        </w:rPr>
      </w:pPr>
      <w:proofErr w:type="spellStart"/>
      <w:r>
        <w:rPr>
          <w:rFonts w:ascii="Times New Roman" w:hAnsi="Times New Roman"/>
          <w:color w:val="000000" w:themeColor="text1"/>
          <w:sz w:val="24"/>
          <w:szCs w:val="24"/>
        </w:rPr>
        <w:t>Peyrin</w:t>
      </w:r>
      <w:proofErr w:type="spellEnd"/>
      <w:r>
        <w:rPr>
          <w:rFonts w:ascii="Times New Roman" w:hAnsi="Times New Roman"/>
          <w:color w:val="000000" w:themeColor="text1"/>
          <w:sz w:val="24"/>
          <w:szCs w:val="24"/>
        </w:rPr>
        <w:t xml:space="preserve"> F (2011) Evaluation of bone scaffolds by micro-CT. </w:t>
      </w:r>
      <w:proofErr w:type="spellStart"/>
      <w:r w:rsidRPr="003764E2">
        <w:rPr>
          <w:rFonts w:ascii="Times New Roman" w:hAnsi="Times New Roman"/>
          <w:i/>
          <w:iCs/>
          <w:color w:val="000000" w:themeColor="text1"/>
          <w:sz w:val="24"/>
          <w:szCs w:val="24"/>
          <w:lang w:val="es-ES"/>
        </w:rPr>
        <w:t>Osteoporos</w:t>
      </w:r>
      <w:proofErr w:type="spellEnd"/>
      <w:r w:rsidRPr="003764E2">
        <w:rPr>
          <w:rFonts w:ascii="Times New Roman" w:hAnsi="Times New Roman"/>
          <w:i/>
          <w:iCs/>
          <w:color w:val="000000" w:themeColor="text1"/>
          <w:sz w:val="24"/>
          <w:szCs w:val="24"/>
          <w:lang w:val="es-ES"/>
        </w:rPr>
        <w:t xml:space="preserve"> </w:t>
      </w:r>
      <w:proofErr w:type="spellStart"/>
      <w:r w:rsidRPr="003764E2">
        <w:rPr>
          <w:rFonts w:ascii="Times New Roman" w:hAnsi="Times New Roman"/>
          <w:i/>
          <w:iCs/>
          <w:color w:val="000000" w:themeColor="text1"/>
          <w:sz w:val="24"/>
          <w:szCs w:val="24"/>
          <w:lang w:val="es-ES"/>
        </w:rPr>
        <w:t>Int</w:t>
      </w:r>
      <w:proofErr w:type="spellEnd"/>
      <w:r w:rsidRPr="003764E2">
        <w:rPr>
          <w:rFonts w:ascii="Times New Roman" w:hAnsi="Times New Roman"/>
          <w:i/>
          <w:iCs/>
          <w:color w:val="000000" w:themeColor="text1"/>
          <w:sz w:val="24"/>
          <w:szCs w:val="24"/>
          <w:lang w:val="es-ES"/>
        </w:rPr>
        <w:t xml:space="preserve"> </w:t>
      </w:r>
      <w:r w:rsidRPr="003764E2">
        <w:rPr>
          <w:rFonts w:ascii="Times New Roman" w:hAnsi="Times New Roman"/>
          <w:color w:val="000000" w:themeColor="text1"/>
          <w:sz w:val="24"/>
          <w:szCs w:val="24"/>
          <w:lang w:val="es-ES"/>
        </w:rPr>
        <w:t>22: 2043–2048.</w:t>
      </w:r>
      <w:r w:rsidR="00915823" w:rsidRPr="003764E2">
        <w:rPr>
          <w:rFonts w:ascii="Times New Roman" w:hAnsi="Times New Roman"/>
          <w:color w:val="000000" w:themeColor="text1"/>
          <w:sz w:val="24"/>
          <w:szCs w:val="24"/>
          <w:lang w:val="es-ES"/>
        </w:rPr>
        <w:t xml:space="preserve"> https://doi.org/10.1007/s00198-011-1609-y</w:t>
      </w:r>
    </w:p>
    <w:p w14:paraId="6DD58A0C" w14:textId="39346C48" w:rsidR="001612D5"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rPr>
      </w:pPr>
      <w:r>
        <w:rPr>
          <w:rFonts w:ascii="Times New Roman" w:hAnsi="Times New Roman"/>
          <w:color w:val="000000" w:themeColor="text1"/>
          <w:sz w:val="24"/>
          <w:szCs w:val="24"/>
        </w:rPr>
        <w:t xml:space="preserve">Young S, </w:t>
      </w:r>
      <w:proofErr w:type="spellStart"/>
      <w:r>
        <w:rPr>
          <w:rFonts w:ascii="Times New Roman" w:hAnsi="Times New Roman"/>
          <w:color w:val="000000" w:themeColor="text1"/>
          <w:sz w:val="24"/>
          <w:szCs w:val="24"/>
        </w:rPr>
        <w:t>Kretlow</w:t>
      </w:r>
      <w:proofErr w:type="spellEnd"/>
      <w:r>
        <w:rPr>
          <w:rFonts w:ascii="Times New Roman" w:hAnsi="Times New Roman"/>
          <w:color w:val="000000" w:themeColor="text1"/>
          <w:sz w:val="24"/>
          <w:szCs w:val="24"/>
        </w:rPr>
        <w:t xml:space="preserve"> JD, Nguyen C, et al. (2008) Microcomputed tomography characterization of neovascularization in bone tissue engineering applications. </w:t>
      </w:r>
      <w:r>
        <w:rPr>
          <w:rFonts w:ascii="Times New Roman" w:hAnsi="Times New Roman"/>
          <w:i/>
          <w:iCs/>
          <w:color w:val="000000" w:themeColor="text1"/>
          <w:sz w:val="24"/>
          <w:szCs w:val="24"/>
        </w:rPr>
        <w:t xml:space="preserve">Tissue </w:t>
      </w:r>
      <w:proofErr w:type="spellStart"/>
      <w:r>
        <w:rPr>
          <w:rFonts w:ascii="Times New Roman" w:hAnsi="Times New Roman"/>
          <w:i/>
          <w:iCs/>
          <w:color w:val="000000" w:themeColor="text1"/>
          <w:sz w:val="24"/>
          <w:szCs w:val="24"/>
        </w:rPr>
        <w:t>Eng</w:t>
      </w:r>
      <w:proofErr w:type="spellEnd"/>
      <w:r>
        <w:rPr>
          <w:rFonts w:ascii="Times New Roman" w:hAnsi="Times New Roman"/>
          <w:i/>
          <w:iCs/>
          <w:color w:val="000000" w:themeColor="text1"/>
          <w:sz w:val="24"/>
          <w:szCs w:val="24"/>
        </w:rPr>
        <w:t xml:space="preserve"> Part B Rev </w:t>
      </w:r>
      <w:r>
        <w:rPr>
          <w:rFonts w:ascii="Times New Roman" w:hAnsi="Times New Roman"/>
          <w:color w:val="000000" w:themeColor="text1"/>
          <w:sz w:val="24"/>
          <w:szCs w:val="24"/>
        </w:rPr>
        <w:t>14: 295–306.</w:t>
      </w:r>
      <w:r w:rsidR="00915823">
        <w:rPr>
          <w:rFonts w:ascii="Times New Roman" w:hAnsi="Times New Roman"/>
          <w:color w:val="000000" w:themeColor="text1"/>
          <w:sz w:val="24"/>
          <w:szCs w:val="24"/>
        </w:rPr>
        <w:t xml:space="preserve"> </w:t>
      </w:r>
      <w:r w:rsidR="00915823" w:rsidRPr="00915823">
        <w:rPr>
          <w:rFonts w:ascii="Times New Roman" w:hAnsi="Times New Roman"/>
          <w:color w:val="000000" w:themeColor="text1"/>
          <w:sz w:val="24"/>
          <w:szCs w:val="24"/>
        </w:rPr>
        <w:t>https://doi.org/10.1089/ten.teb.2008.0153</w:t>
      </w:r>
    </w:p>
    <w:p w14:paraId="341DECB1" w14:textId="6BFB63AC" w:rsidR="00915823"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rPr>
      </w:pPr>
      <w:r>
        <w:rPr>
          <w:rFonts w:ascii="Times New Roman" w:hAnsi="Times New Roman"/>
          <w:color w:val="000000" w:themeColor="text1"/>
          <w:sz w:val="24"/>
          <w:szCs w:val="24"/>
        </w:rPr>
        <w:t xml:space="preserve">Swain M and </w:t>
      </w:r>
      <w:proofErr w:type="spellStart"/>
      <w:r>
        <w:rPr>
          <w:rFonts w:ascii="Times New Roman" w:hAnsi="Times New Roman"/>
          <w:color w:val="000000" w:themeColor="text1"/>
          <w:sz w:val="24"/>
          <w:szCs w:val="24"/>
        </w:rPr>
        <w:t>Xue</w:t>
      </w:r>
      <w:proofErr w:type="spellEnd"/>
      <w:r>
        <w:rPr>
          <w:rFonts w:ascii="Times New Roman" w:hAnsi="Times New Roman"/>
          <w:color w:val="000000" w:themeColor="text1"/>
          <w:sz w:val="24"/>
          <w:szCs w:val="24"/>
        </w:rPr>
        <w:t xml:space="preserve"> J (2009) State of the art of Micro-CT applications in dental research. </w:t>
      </w:r>
      <w:r>
        <w:rPr>
          <w:rFonts w:ascii="Times New Roman" w:hAnsi="Times New Roman"/>
          <w:i/>
          <w:iCs/>
          <w:color w:val="000000" w:themeColor="text1"/>
          <w:sz w:val="24"/>
          <w:szCs w:val="24"/>
        </w:rPr>
        <w:t xml:space="preserve">Int J Oral Sci </w:t>
      </w:r>
      <w:r>
        <w:rPr>
          <w:rFonts w:ascii="Times New Roman" w:hAnsi="Times New Roman"/>
          <w:color w:val="000000" w:themeColor="text1"/>
          <w:sz w:val="24"/>
          <w:szCs w:val="24"/>
        </w:rPr>
        <w:t>1: 177–188.</w:t>
      </w:r>
      <w:r w:rsidR="00915823">
        <w:rPr>
          <w:rFonts w:ascii="Times New Roman" w:hAnsi="Times New Roman"/>
          <w:color w:val="000000" w:themeColor="text1"/>
          <w:sz w:val="24"/>
          <w:szCs w:val="24"/>
        </w:rPr>
        <w:t xml:space="preserve"> </w:t>
      </w:r>
      <w:r w:rsidR="00915823" w:rsidRPr="00915823">
        <w:rPr>
          <w:rFonts w:ascii="Times New Roman" w:hAnsi="Times New Roman"/>
          <w:color w:val="000000" w:themeColor="text1"/>
          <w:sz w:val="24"/>
          <w:szCs w:val="24"/>
        </w:rPr>
        <w:t>https://doi.org/10.4248/ijos09031</w:t>
      </w:r>
    </w:p>
    <w:p w14:paraId="458AF621" w14:textId="1FDF8B85" w:rsidR="001612D5" w:rsidRPr="00915823" w:rsidRDefault="00915823" w:rsidP="00915823">
      <w:pPr>
        <w:widowControl/>
        <w:jc w:val="left"/>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7B0DFF5D" w14:textId="0EA46A5B" w:rsidR="001612D5"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Lauren B, Pedro T, Felix G, et al. (2021) Assessment of trabecular bone during dental implant planning using cone-beam computed tomography with high-resolution parameters.    </w:t>
      </w:r>
      <w:r>
        <w:rPr>
          <w:rFonts w:ascii="Times New Roman" w:hAnsi="Times New Roman"/>
          <w:i/>
          <w:iCs/>
          <w:color w:val="000000" w:themeColor="text1"/>
          <w:sz w:val="24"/>
          <w:szCs w:val="24"/>
        </w:rPr>
        <w:t>TODENTJ</w:t>
      </w:r>
      <w:r>
        <w:rPr>
          <w:rFonts w:ascii="Times New Roman" w:hAnsi="Times New Roman"/>
          <w:color w:val="000000" w:themeColor="text1"/>
          <w:sz w:val="24"/>
          <w:szCs w:val="24"/>
        </w:rPr>
        <w:t xml:space="preserve"> 2021: 15–57. </w:t>
      </w:r>
      <w:r>
        <w:rPr>
          <w:rFonts w:ascii="Times New Roman" w:hAnsi="Times New Roman"/>
          <w:sz w:val="24"/>
          <w:szCs w:val="24"/>
        </w:rPr>
        <w:t>https://doi.org/</w:t>
      </w:r>
      <w:r>
        <w:rPr>
          <w:rFonts w:ascii="Times New Roman" w:hAnsi="Times New Roman"/>
          <w:color w:val="000000" w:themeColor="text1"/>
          <w:sz w:val="24"/>
          <w:szCs w:val="24"/>
        </w:rPr>
        <w:t>10.2174/1874210602115010057</w:t>
      </w:r>
    </w:p>
    <w:p w14:paraId="630A9469" w14:textId="29126F06" w:rsidR="001612D5"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rPr>
      </w:pPr>
      <w:r>
        <w:rPr>
          <w:rFonts w:ascii="Times New Roman" w:hAnsi="Times New Roman"/>
          <w:color w:val="000000" w:themeColor="text1"/>
          <w:sz w:val="24"/>
          <w:szCs w:val="24"/>
        </w:rPr>
        <w:t xml:space="preserve">Zhang G, Pan XH, Liu Z, et al. (2011) Impaired bone healing pattern in mice with ovariectomy-induced osteoporosis: a drill-hole defect model. </w:t>
      </w:r>
      <w:r>
        <w:rPr>
          <w:rFonts w:ascii="Times New Roman" w:hAnsi="Times New Roman"/>
          <w:i/>
          <w:iCs/>
          <w:color w:val="000000" w:themeColor="text1"/>
          <w:sz w:val="24"/>
          <w:szCs w:val="24"/>
        </w:rPr>
        <w:t xml:space="preserve">Bone </w:t>
      </w:r>
      <w:r>
        <w:rPr>
          <w:rFonts w:ascii="Times New Roman" w:hAnsi="Times New Roman"/>
          <w:color w:val="000000" w:themeColor="text1"/>
          <w:sz w:val="24"/>
          <w:szCs w:val="24"/>
        </w:rPr>
        <w:t>48: 1388–1400.</w:t>
      </w:r>
      <w:r w:rsidR="00915823">
        <w:rPr>
          <w:rFonts w:ascii="Times New Roman" w:hAnsi="Times New Roman"/>
          <w:color w:val="000000" w:themeColor="text1"/>
          <w:sz w:val="24"/>
          <w:szCs w:val="24"/>
        </w:rPr>
        <w:t xml:space="preserve"> </w:t>
      </w:r>
      <w:r w:rsidR="00915823" w:rsidRPr="00915823">
        <w:rPr>
          <w:rFonts w:ascii="Times New Roman" w:hAnsi="Times New Roman"/>
          <w:color w:val="000000" w:themeColor="text1"/>
          <w:sz w:val="24"/>
          <w:szCs w:val="24"/>
        </w:rPr>
        <w:t>https://doi.org/10.1016/j.bone.2011.03.720</w:t>
      </w:r>
    </w:p>
    <w:p w14:paraId="27EC6347" w14:textId="1D3FB042" w:rsidR="001612D5"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lang w:val="es-ES"/>
        </w:rPr>
      </w:pPr>
      <w:proofErr w:type="spellStart"/>
      <w:r>
        <w:rPr>
          <w:rFonts w:ascii="Times New Roman" w:hAnsi="Times New Roman"/>
          <w:color w:val="000000" w:themeColor="text1"/>
          <w:sz w:val="24"/>
          <w:szCs w:val="24"/>
        </w:rPr>
        <w:t>Parsa</w:t>
      </w:r>
      <w:proofErr w:type="spellEnd"/>
      <w:r>
        <w:rPr>
          <w:rFonts w:ascii="Times New Roman" w:hAnsi="Times New Roman"/>
          <w:color w:val="000000" w:themeColor="text1"/>
          <w:sz w:val="24"/>
          <w:szCs w:val="24"/>
        </w:rPr>
        <w:t xml:space="preserve"> A, Ibrahim N, Hassan B, et al. (2015) Bone quality evaluation at dental implant site using </w:t>
      </w:r>
      <w:proofErr w:type="spellStart"/>
      <w:r>
        <w:rPr>
          <w:rFonts w:ascii="Times New Roman" w:hAnsi="Times New Roman"/>
          <w:color w:val="000000" w:themeColor="text1"/>
          <w:sz w:val="24"/>
          <w:szCs w:val="24"/>
        </w:rPr>
        <w:t>multislice</w:t>
      </w:r>
      <w:proofErr w:type="spellEnd"/>
      <w:r>
        <w:rPr>
          <w:rFonts w:ascii="Times New Roman" w:hAnsi="Times New Roman"/>
          <w:color w:val="000000" w:themeColor="text1"/>
          <w:sz w:val="24"/>
          <w:szCs w:val="24"/>
        </w:rPr>
        <w:t xml:space="preserve"> CT, micro-CT, and cone beam CT. </w:t>
      </w:r>
      <w:r>
        <w:rPr>
          <w:rFonts w:ascii="Times New Roman" w:hAnsi="Times New Roman"/>
          <w:i/>
          <w:iCs/>
          <w:color w:val="000000" w:themeColor="text1"/>
          <w:sz w:val="24"/>
          <w:szCs w:val="24"/>
          <w:lang w:val="es-ES"/>
        </w:rPr>
        <w:t>Clin Oral Implants Res</w:t>
      </w:r>
      <w:r>
        <w:rPr>
          <w:rFonts w:ascii="Times New Roman" w:hAnsi="Times New Roman"/>
          <w:color w:val="000000" w:themeColor="text1"/>
          <w:sz w:val="24"/>
          <w:szCs w:val="24"/>
          <w:lang w:val="es-ES"/>
        </w:rPr>
        <w:t xml:space="preserve"> 26: e1</w:t>
      </w:r>
      <w:r>
        <w:rPr>
          <w:rFonts w:ascii="Times New Roman" w:hAnsi="Times New Roman"/>
          <w:color w:val="000000" w:themeColor="text1"/>
          <w:sz w:val="24"/>
          <w:szCs w:val="24"/>
        </w:rPr>
        <w:t>–</w:t>
      </w:r>
      <w:r>
        <w:rPr>
          <w:rFonts w:ascii="Times New Roman" w:hAnsi="Times New Roman"/>
          <w:color w:val="000000" w:themeColor="text1"/>
          <w:sz w:val="24"/>
          <w:szCs w:val="24"/>
          <w:lang w:val="es-ES"/>
        </w:rPr>
        <w:t>7.</w:t>
      </w:r>
      <w:r w:rsidR="00915823">
        <w:rPr>
          <w:rFonts w:ascii="Times New Roman" w:hAnsi="Times New Roman"/>
          <w:color w:val="000000" w:themeColor="text1"/>
          <w:sz w:val="24"/>
          <w:szCs w:val="24"/>
          <w:lang w:val="es-ES"/>
        </w:rPr>
        <w:t xml:space="preserve"> </w:t>
      </w:r>
      <w:r w:rsidR="00915823" w:rsidRPr="00915823">
        <w:rPr>
          <w:rFonts w:ascii="Times New Roman" w:hAnsi="Times New Roman"/>
          <w:color w:val="000000" w:themeColor="text1"/>
          <w:sz w:val="24"/>
          <w:szCs w:val="24"/>
          <w:lang w:val="es-ES"/>
        </w:rPr>
        <w:t>https://doi.org/10.1111/clr.12315</w:t>
      </w:r>
    </w:p>
    <w:p w14:paraId="32A95A2F" w14:textId="7C8C4A91"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Calvo Guirado JL, Ortiz Ruiz AJ, Gomez Moreno G, et al. </w:t>
      </w:r>
      <w:r>
        <w:rPr>
          <w:rFonts w:ascii="Times New Roman" w:eastAsia="Times New Roman" w:hAnsi="Times New Roman"/>
          <w:sz w:val="24"/>
          <w:szCs w:val="24"/>
        </w:rPr>
        <w:t xml:space="preserve">(2008) Immediate loading and immediate restoration in 105 expanded-platform implants via the diem system after a 16-month follow-up period. </w:t>
      </w:r>
      <w:r>
        <w:rPr>
          <w:rFonts w:ascii="Times New Roman" w:eastAsia="Times New Roman" w:hAnsi="Times New Roman"/>
          <w:i/>
          <w:iCs/>
          <w:sz w:val="24"/>
          <w:szCs w:val="24"/>
          <w:lang w:val="es-ES"/>
        </w:rPr>
        <w:t>Med Oral Patol Oral Cir Bucal</w:t>
      </w:r>
      <w:r>
        <w:rPr>
          <w:rFonts w:ascii="Times New Roman" w:eastAsia="Times New Roman" w:hAnsi="Times New Roman"/>
          <w:sz w:val="24"/>
          <w:szCs w:val="24"/>
          <w:lang w:val="es-ES"/>
        </w:rPr>
        <w:t xml:space="preserve"> 13: E576</w:t>
      </w:r>
      <w:r>
        <w:rPr>
          <w:rFonts w:ascii="Times New Roman" w:hAnsi="Times New Roman"/>
          <w:color w:val="000000" w:themeColor="text1"/>
          <w:sz w:val="24"/>
          <w:szCs w:val="24"/>
        </w:rPr>
        <w:t>–</w:t>
      </w:r>
      <w:r>
        <w:rPr>
          <w:rFonts w:ascii="Times New Roman" w:eastAsia="Times New Roman" w:hAnsi="Times New Roman"/>
          <w:sz w:val="24"/>
          <w:szCs w:val="24"/>
          <w:lang w:val="es-ES"/>
        </w:rPr>
        <w:t>581.</w:t>
      </w:r>
      <w:r w:rsidR="00915823">
        <w:rPr>
          <w:rFonts w:ascii="Times New Roman" w:eastAsia="Times New Roman" w:hAnsi="Times New Roman"/>
          <w:sz w:val="24"/>
          <w:szCs w:val="24"/>
          <w:lang w:val="es-ES"/>
        </w:rPr>
        <w:t xml:space="preserve"> </w:t>
      </w:r>
      <w:r w:rsidR="00915823" w:rsidRPr="00915823">
        <w:rPr>
          <w:rFonts w:ascii="Times New Roman" w:eastAsia="Times New Roman" w:hAnsi="Times New Roman"/>
          <w:sz w:val="24"/>
          <w:szCs w:val="24"/>
          <w:lang w:val="es-ES"/>
        </w:rPr>
        <w:t>https://pubmed.ncbi.nlm.nih.gov/18758403</w:t>
      </w:r>
    </w:p>
    <w:p w14:paraId="25F58A2D" w14:textId="5A2C854F"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r>
        <w:rPr>
          <w:rFonts w:ascii="Times New Roman" w:eastAsia="Times New Roman" w:hAnsi="Times New Roman"/>
          <w:sz w:val="24"/>
          <w:szCs w:val="24"/>
          <w:lang w:val="es-ES"/>
        </w:rPr>
        <w:t xml:space="preserve">Enriquez-Sacristan C, Barona-Dorado C, Calvo-Guirado JL, et al. </w:t>
      </w:r>
      <w:r>
        <w:rPr>
          <w:rFonts w:ascii="Times New Roman" w:eastAsia="Times New Roman" w:hAnsi="Times New Roman"/>
          <w:sz w:val="24"/>
          <w:szCs w:val="24"/>
        </w:rPr>
        <w:t xml:space="preserve">(2011) Immediate post-extraction implants subject to immediate loading: a meta-analytic study. </w:t>
      </w:r>
      <w:r>
        <w:rPr>
          <w:rFonts w:ascii="Times New Roman" w:eastAsia="Times New Roman" w:hAnsi="Times New Roman"/>
          <w:i/>
          <w:iCs/>
          <w:sz w:val="24"/>
          <w:szCs w:val="24"/>
        </w:rPr>
        <w:t xml:space="preserve">Med Oral </w:t>
      </w:r>
      <w:proofErr w:type="spellStart"/>
      <w:r>
        <w:rPr>
          <w:rFonts w:ascii="Times New Roman" w:eastAsia="Times New Roman" w:hAnsi="Times New Roman"/>
          <w:i/>
          <w:iCs/>
          <w:sz w:val="24"/>
          <w:szCs w:val="24"/>
        </w:rPr>
        <w:t>Patol</w:t>
      </w:r>
      <w:proofErr w:type="spellEnd"/>
      <w:r>
        <w:rPr>
          <w:rFonts w:ascii="Times New Roman" w:eastAsia="Times New Roman" w:hAnsi="Times New Roman"/>
          <w:i/>
          <w:iCs/>
          <w:sz w:val="24"/>
          <w:szCs w:val="24"/>
        </w:rPr>
        <w:t xml:space="preserve"> Oral Cir </w:t>
      </w:r>
      <w:proofErr w:type="spellStart"/>
      <w:r>
        <w:rPr>
          <w:rFonts w:ascii="Times New Roman" w:eastAsia="Times New Roman" w:hAnsi="Times New Roman"/>
          <w:i/>
          <w:iCs/>
          <w:sz w:val="24"/>
          <w:szCs w:val="24"/>
        </w:rPr>
        <w:t>Bucal</w:t>
      </w:r>
      <w:proofErr w:type="spellEnd"/>
      <w:r>
        <w:rPr>
          <w:rFonts w:ascii="Times New Roman" w:eastAsia="Times New Roman" w:hAnsi="Times New Roman"/>
          <w:sz w:val="24"/>
          <w:szCs w:val="24"/>
        </w:rPr>
        <w:t xml:space="preserve"> 16: e919</w:t>
      </w:r>
      <w:r>
        <w:rPr>
          <w:rFonts w:ascii="Times New Roman" w:hAnsi="Times New Roman"/>
          <w:color w:val="000000" w:themeColor="text1"/>
          <w:sz w:val="24"/>
          <w:szCs w:val="24"/>
        </w:rPr>
        <w:t>–</w:t>
      </w:r>
      <w:r>
        <w:rPr>
          <w:rFonts w:ascii="Times New Roman" w:eastAsia="Times New Roman" w:hAnsi="Times New Roman"/>
          <w:sz w:val="24"/>
          <w:szCs w:val="24"/>
        </w:rPr>
        <w:t>924.</w:t>
      </w:r>
      <w:r w:rsidR="00915823">
        <w:rPr>
          <w:rFonts w:ascii="Times New Roman" w:eastAsia="Times New Roman" w:hAnsi="Times New Roman"/>
          <w:sz w:val="24"/>
          <w:szCs w:val="24"/>
        </w:rPr>
        <w:t xml:space="preserve"> </w:t>
      </w:r>
      <w:r w:rsidR="00915823" w:rsidRPr="00915823">
        <w:rPr>
          <w:rFonts w:ascii="Times New Roman" w:eastAsia="Times New Roman" w:hAnsi="Times New Roman"/>
          <w:sz w:val="24"/>
          <w:szCs w:val="24"/>
        </w:rPr>
        <w:t>https://doi.org/10.4317/medoral.16918</w:t>
      </w:r>
    </w:p>
    <w:p w14:paraId="57C2B6AA" w14:textId="68B5489C"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proofErr w:type="spellStart"/>
      <w:r>
        <w:rPr>
          <w:rFonts w:ascii="Times New Roman" w:eastAsia="Times New Roman" w:hAnsi="Times New Roman"/>
          <w:sz w:val="24"/>
          <w:szCs w:val="24"/>
        </w:rPr>
        <w:t>Balbinot</w:t>
      </w:r>
      <w:proofErr w:type="spellEnd"/>
      <w:r>
        <w:rPr>
          <w:rFonts w:ascii="Times New Roman" w:eastAsia="Times New Roman" w:hAnsi="Times New Roman"/>
          <w:sz w:val="24"/>
          <w:szCs w:val="24"/>
        </w:rPr>
        <w:t xml:space="preserve"> GS, </w:t>
      </w:r>
      <w:proofErr w:type="spellStart"/>
      <w:r>
        <w:rPr>
          <w:rFonts w:ascii="Times New Roman" w:eastAsia="Times New Roman" w:hAnsi="Times New Roman"/>
          <w:sz w:val="24"/>
          <w:szCs w:val="24"/>
        </w:rPr>
        <w:t>Leitune</w:t>
      </w:r>
      <w:proofErr w:type="spellEnd"/>
      <w:r>
        <w:rPr>
          <w:rFonts w:ascii="Times New Roman" w:eastAsia="Times New Roman" w:hAnsi="Times New Roman"/>
          <w:sz w:val="24"/>
          <w:szCs w:val="24"/>
        </w:rPr>
        <w:t xml:space="preserve"> VCB, </w:t>
      </w:r>
      <w:proofErr w:type="spellStart"/>
      <w:r>
        <w:rPr>
          <w:rFonts w:ascii="Times New Roman" w:eastAsia="Times New Roman" w:hAnsi="Times New Roman"/>
          <w:sz w:val="24"/>
          <w:szCs w:val="24"/>
        </w:rPr>
        <w:t>Ponzoni</w:t>
      </w:r>
      <w:proofErr w:type="spellEnd"/>
      <w:r>
        <w:rPr>
          <w:rFonts w:ascii="Times New Roman" w:eastAsia="Times New Roman" w:hAnsi="Times New Roman"/>
          <w:sz w:val="24"/>
          <w:szCs w:val="24"/>
        </w:rPr>
        <w:t xml:space="preserve"> D, et al. (2019) Bone healing with niobium-containing bioactive glass composition in rat femur model: a micro-CT study. </w:t>
      </w:r>
      <w:r>
        <w:rPr>
          <w:rFonts w:ascii="Times New Roman" w:eastAsia="Times New Roman" w:hAnsi="Times New Roman"/>
          <w:i/>
          <w:iCs/>
          <w:sz w:val="24"/>
          <w:szCs w:val="24"/>
        </w:rPr>
        <w:t>Dent Mater</w:t>
      </w:r>
      <w:r>
        <w:rPr>
          <w:rFonts w:ascii="Times New Roman" w:eastAsia="Times New Roman" w:hAnsi="Times New Roman"/>
          <w:sz w:val="24"/>
          <w:szCs w:val="24"/>
        </w:rPr>
        <w:t xml:space="preserve"> 35: 1490–1497.</w:t>
      </w:r>
      <w:r w:rsidR="00F726AF">
        <w:rPr>
          <w:rFonts w:ascii="Times New Roman" w:eastAsia="Times New Roman" w:hAnsi="Times New Roman"/>
          <w:sz w:val="24"/>
          <w:szCs w:val="24"/>
        </w:rPr>
        <w:t xml:space="preserve"> </w:t>
      </w:r>
      <w:r w:rsidR="00F726AF" w:rsidRPr="00F726AF">
        <w:rPr>
          <w:rFonts w:ascii="Times New Roman" w:eastAsia="Times New Roman" w:hAnsi="Times New Roman"/>
          <w:sz w:val="24"/>
          <w:szCs w:val="24"/>
        </w:rPr>
        <w:t>https://doi.org/10.1016/j.dental.2019.07.012</w:t>
      </w:r>
    </w:p>
    <w:p w14:paraId="63E67B30" w14:textId="544C75AB"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lang w:val="es-ES"/>
        </w:rPr>
      </w:pPr>
      <w:proofErr w:type="spellStart"/>
      <w:r w:rsidRPr="003764E2">
        <w:rPr>
          <w:rFonts w:ascii="Times New Roman" w:eastAsia="Times New Roman" w:hAnsi="Times New Roman"/>
          <w:sz w:val="24"/>
          <w:szCs w:val="24"/>
          <w:lang w:val="es-ES"/>
        </w:rPr>
        <w:t>Jiang</w:t>
      </w:r>
      <w:proofErr w:type="spellEnd"/>
      <w:r w:rsidRPr="003764E2">
        <w:rPr>
          <w:rFonts w:ascii="Times New Roman" w:eastAsia="Times New Roman" w:hAnsi="Times New Roman"/>
          <w:sz w:val="24"/>
          <w:szCs w:val="24"/>
          <w:lang w:val="es-ES"/>
        </w:rPr>
        <w:t xml:space="preserve"> Y, Zhao J, </w:t>
      </w:r>
      <w:proofErr w:type="spellStart"/>
      <w:r w:rsidRPr="003764E2">
        <w:rPr>
          <w:rFonts w:ascii="Times New Roman" w:eastAsia="Times New Roman" w:hAnsi="Times New Roman"/>
          <w:sz w:val="24"/>
          <w:szCs w:val="24"/>
          <w:lang w:val="es-ES"/>
        </w:rPr>
        <w:t>Liao</w:t>
      </w:r>
      <w:proofErr w:type="spellEnd"/>
      <w:r w:rsidRPr="003764E2">
        <w:rPr>
          <w:rFonts w:ascii="Times New Roman" w:eastAsia="Times New Roman" w:hAnsi="Times New Roman"/>
          <w:sz w:val="24"/>
          <w:szCs w:val="24"/>
          <w:lang w:val="es-ES"/>
        </w:rPr>
        <w:t xml:space="preserve"> EY, et al. </w:t>
      </w:r>
      <w:r>
        <w:rPr>
          <w:rFonts w:ascii="Times New Roman" w:eastAsia="Times New Roman" w:hAnsi="Times New Roman"/>
          <w:sz w:val="24"/>
          <w:szCs w:val="24"/>
        </w:rPr>
        <w:t xml:space="preserve">(2005) Application of micro-CT assessment of 3-D bone micro- structure in preclinical and clinical studies. </w:t>
      </w:r>
      <w:r>
        <w:rPr>
          <w:rFonts w:ascii="Times New Roman" w:eastAsia="Times New Roman" w:hAnsi="Times New Roman"/>
          <w:sz w:val="24"/>
          <w:szCs w:val="24"/>
          <w:lang w:val="es-ES"/>
        </w:rPr>
        <w:t xml:space="preserve">J </w:t>
      </w:r>
      <w:r>
        <w:rPr>
          <w:rFonts w:ascii="Times New Roman" w:eastAsia="Times New Roman" w:hAnsi="Times New Roman"/>
          <w:i/>
          <w:iCs/>
          <w:sz w:val="24"/>
          <w:szCs w:val="24"/>
          <w:lang w:val="es-ES"/>
        </w:rPr>
        <w:t>Bone Miner Metab</w:t>
      </w:r>
      <w:r>
        <w:rPr>
          <w:rFonts w:ascii="Times New Roman" w:eastAsia="Times New Roman" w:hAnsi="Times New Roman"/>
          <w:sz w:val="24"/>
          <w:szCs w:val="24"/>
          <w:lang w:val="es-ES"/>
        </w:rPr>
        <w:t xml:space="preserve"> 23: 122–131.</w:t>
      </w:r>
      <w:r w:rsidR="00915823">
        <w:rPr>
          <w:rFonts w:ascii="Times New Roman" w:eastAsia="Times New Roman" w:hAnsi="Times New Roman"/>
          <w:sz w:val="24"/>
          <w:szCs w:val="24"/>
          <w:lang w:val="es-ES"/>
        </w:rPr>
        <w:t xml:space="preserve"> </w:t>
      </w:r>
      <w:r w:rsidR="00F726AF" w:rsidRPr="00F726AF">
        <w:rPr>
          <w:rFonts w:ascii="Times New Roman" w:eastAsia="Times New Roman" w:hAnsi="Times New Roman"/>
          <w:sz w:val="24"/>
          <w:szCs w:val="24"/>
          <w:lang w:val="es-ES"/>
        </w:rPr>
        <w:t>https://doi.org/10.1007/bf03026336</w:t>
      </w:r>
    </w:p>
    <w:p w14:paraId="1C10BBB4" w14:textId="6A943189"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Van Dessel J, Nicolielo LF, HuangY, et al. </w:t>
      </w:r>
      <w:r>
        <w:rPr>
          <w:rFonts w:ascii="Times New Roman" w:eastAsia="Times New Roman" w:hAnsi="Times New Roman"/>
          <w:sz w:val="24"/>
          <w:szCs w:val="24"/>
        </w:rPr>
        <w:t xml:space="preserve">(2017) Accuracy and reliability of different cone beam computed tomography (CBCT) devices for structural analysis of alveolar bone in comparison with </w:t>
      </w:r>
      <w:proofErr w:type="spellStart"/>
      <w:r>
        <w:rPr>
          <w:rFonts w:ascii="Times New Roman" w:eastAsia="Times New Roman" w:hAnsi="Times New Roman"/>
          <w:sz w:val="24"/>
          <w:szCs w:val="24"/>
        </w:rPr>
        <w:t>multislice</w:t>
      </w:r>
      <w:proofErr w:type="spellEnd"/>
      <w:r>
        <w:rPr>
          <w:rFonts w:ascii="Times New Roman" w:eastAsia="Times New Roman" w:hAnsi="Times New Roman"/>
          <w:sz w:val="24"/>
          <w:szCs w:val="24"/>
        </w:rPr>
        <w:t xml:space="preserve"> CT and micro-CT. </w:t>
      </w:r>
      <w:r>
        <w:rPr>
          <w:rFonts w:ascii="Times New Roman" w:eastAsia="Times New Roman" w:hAnsi="Times New Roman"/>
          <w:i/>
          <w:iCs/>
          <w:sz w:val="24"/>
          <w:szCs w:val="24"/>
          <w:lang w:val="es-ES"/>
        </w:rPr>
        <w:t>Eur J Oral Implantol</w:t>
      </w:r>
      <w:r>
        <w:rPr>
          <w:rFonts w:ascii="Times New Roman" w:eastAsia="Times New Roman" w:hAnsi="Times New Roman"/>
          <w:sz w:val="24"/>
          <w:szCs w:val="24"/>
          <w:lang w:val="es-ES"/>
        </w:rPr>
        <w:t xml:space="preserve"> 10: 95–105.</w:t>
      </w:r>
      <w:r w:rsidR="00F726AF">
        <w:rPr>
          <w:rFonts w:ascii="Times New Roman" w:eastAsia="Times New Roman" w:hAnsi="Times New Roman"/>
          <w:sz w:val="24"/>
          <w:szCs w:val="24"/>
          <w:lang w:val="es-ES"/>
        </w:rPr>
        <w:t xml:space="preserve"> </w:t>
      </w:r>
      <w:r w:rsidR="00F726AF" w:rsidRPr="00F726AF">
        <w:rPr>
          <w:rFonts w:ascii="Times New Roman" w:eastAsia="Times New Roman" w:hAnsi="Times New Roman"/>
          <w:sz w:val="24"/>
          <w:szCs w:val="24"/>
          <w:lang w:val="es-ES"/>
        </w:rPr>
        <w:t>https://pubmed.ncbi.nlm.nih.gov/28327698</w:t>
      </w:r>
    </w:p>
    <w:p w14:paraId="48FDA502" w14:textId="51A72E5D"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r>
        <w:rPr>
          <w:rFonts w:ascii="Times New Roman" w:eastAsia="Times New Roman" w:hAnsi="Times New Roman"/>
          <w:sz w:val="24"/>
          <w:szCs w:val="24"/>
          <w:lang w:val="es-ES"/>
        </w:rPr>
        <w:t xml:space="preserve">Cano J, Campo J, Vaquero JJ, et al. </w:t>
      </w:r>
      <w:r>
        <w:rPr>
          <w:rFonts w:ascii="Times New Roman" w:eastAsia="Times New Roman" w:hAnsi="Times New Roman"/>
          <w:sz w:val="24"/>
          <w:szCs w:val="24"/>
        </w:rPr>
        <w:t xml:space="preserve">(2008) High resolution image in bone biology II. Review of the literature. </w:t>
      </w:r>
      <w:r>
        <w:rPr>
          <w:rFonts w:ascii="Times New Roman" w:eastAsia="Times New Roman" w:hAnsi="Times New Roman"/>
          <w:i/>
          <w:iCs/>
          <w:sz w:val="24"/>
          <w:szCs w:val="24"/>
        </w:rPr>
        <w:t xml:space="preserve">Med Oral </w:t>
      </w:r>
      <w:proofErr w:type="spellStart"/>
      <w:r>
        <w:rPr>
          <w:rFonts w:ascii="Times New Roman" w:eastAsia="Times New Roman" w:hAnsi="Times New Roman"/>
          <w:i/>
          <w:iCs/>
          <w:sz w:val="24"/>
          <w:szCs w:val="24"/>
        </w:rPr>
        <w:t>Patol</w:t>
      </w:r>
      <w:proofErr w:type="spellEnd"/>
      <w:r>
        <w:rPr>
          <w:rFonts w:ascii="Times New Roman" w:eastAsia="Times New Roman" w:hAnsi="Times New Roman"/>
          <w:i/>
          <w:iCs/>
          <w:sz w:val="24"/>
          <w:szCs w:val="24"/>
        </w:rPr>
        <w:t xml:space="preserve"> Oral Cir </w:t>
      </w:r>
      <w:proofErr w:type="spellStart"/>
      <w:r>
        <w:rPr>
          <w:rFonts w:ascii="Times New Roman" w:eastAsia="Times New Roman" w:hAnsi="Times New Roman"/>
          <w:i/>
          <w:iCs/>
          <w:sz w:val="24"/>
          <w:szCs w:val="24"/>
        </w:rPr>
        <w:t>Bucal</w:t>
      </w:r>
      <w:proofErr w:type="spellEnd"/>
      <w:r>
        <w:rPr>
          <w:rFonts w:ascii="Times New Roman" w:eastAsia="Times New Roman" w:hAnsi="Times New Roman"/>
          <w:sz w:val="24"/>
          <w:szCs w:val="24"/>
        </w:rPr>
        <w:t xml:space="preserve"> 13: E31–E35.</w:t>
      </w:r>
      <w:r w:rsidR="00F726AF">
        <w:rPr>
          <w:rFonts w:ascii="Times New Roman" w:eastAsia="Times New Roman" w:hAnsi="Times New Roman"/>
          <w:sz w:val="24"/>
          <w:szCs w:val="24"/>
        </w:rPr>
        <w:t xml:space="preserve"> </w:t>
      </w:r>
      <w:r w:rsidR="00F726AF" w:rsidRPr="00F726AF">
        <w:rPr>
          <w:rFonts w:ascii="Times New Roman" w:eastAsia="Times New Roman" w:hAnsi="Times New Roman"/>
          <w:sz w:val="24"/>
          <w:szCs w:val="24"/>
        </w:rPr>
        <w:t>https://pubmed.ncbi.nlm.nih.gov/18167477</w:t>
      </w:r>
    </w:p>
    <w:p w14:paraId="45B0158B" w14:textId="1D7F66C5"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proofErr w:type="spellStart"/>
      <w:r>
        <w:rPr>
          <w:rFonts w:ascii="Times New Roman" w:eastAsia="Times New Roman" w:hAnsi="Times New Roman"/>
          <w:sz w:val="24"/>
          <w:szCs w:val="24"/>
        </w:rPr>
        <w:t>Tjong</w:t>
      </w:r>
      <w:proofErr w:type="spellEnd"/>
      <w:r>
        <w:rPr>
          <w:rFonts w:ascii="Times New Roman" w:eastAsia="Times New Roman" w:hAnsi="Times New Roman"/>
          <w:sz w:val="24"/>
          <w:szCs w:val="24"/>
        </w:rPr>
        <w:t xml:space="preserve"> W, </w:t>
      </w:r>
      <w:proofErr w:type="spellStart"/>
      <w:r>
        <w:rPr>
          <w:rFonts w:ascii="Times New Roman" w:eastAsia="Times New Roman" w:hAnsi="Times New Roman"/>
          <w:sz w:val="24"/>
          <w:szCs w:val="24"/>
        </w:rPr>
        <w:t>Nirody</w:t>
      </w:r>
      <w:proofErr w:type="spellEnd"/>
      <w:r>
        <w:rPr>
          <w:rFonts w:ascii="Times New Roman" w:eastAsia="Times New Roman" w:hAnsi="Times New Roman"/>
          <w:sz w:val="24"/>
          <w:szCs w:val="24"/>
        </w:rPr>
        <w:t xml:space="preserve"> J, Burghardt AJ, et al. (2014) Structural analysis of cortical porosity applied to HR-</w:t>
      </w:r>
      <w:proofErr w:type="spellStart"/>
      <w:r>
        <w:rPr>
          <w:rFonts w:ascii="Times New Roman" w:eastAsia="Times New Roman" w:hAnsi="Times New Roman"/>
          <w:sz w:val="24"/>
          <w:szCs w:val="24"/>
        </w:rPr>
        <w:t>pQCT</w:t>
      </w:r>
      <w:proofErr w:type="spellEnd"/>
      <w:r>
        <w:rPr>
          <w:rFonts w:ascii="Times New Roman" w:eastAsia="Times New Roman" w:hAnsi="Times New Roman"/>
          <w:sz w:val="24"/>
          <w:szCs w:val="24"/>
        </w:rPr>
        <w:t xml:space="preserve"> data. </w:t>
      </w:r>
      <w:r>
        <w:rPr>
          <w:rFonts w:ascii="Times New Roman" w:eastAsia="Times New Roman" w:hAnsi="Times New Roman"/>
          <w:i/>
          <w:iCs/>
          <w:sz w:val="24"/>
          <w:szCs w:val="24"/>
        </w:rPr>
        <w:t>Med Phys.</w:t>
      </w:r>
      <w:r>
        <w:rPr>
          <w:rFonts w:ascii="Times New Roman" w:eastAsia="Times New Roman" w:hAnsi="Times New Roman"/>
          <w:sz w:val="24"/>
          <w:szCs w:val="24"/>
        </w:rPr>
        <w:t xml:space="preserve"> 41: 013701.</w:t>
      </w:r>
      <w:r w:rsidR="00F726AF">
        <w:rPr>
          <w:rFonts w:ascii="Times New Roman" w:eastAsia="Times New Roman" w:hAnsi="Times New Roman"/>
          <w:sz w:val="24"/>
          <w:szCs w:val="24"/>
        </w:rPr>
        <w:t xml:space="preserve"> </w:t>
      </w:r>
      <w:r w:rsidR="00F726AF" w:rsidRPr="00F726AF">
        <w:rPr>
          <w:rFonts w:ascii="Times New Roman" w:eastAsia="Times New Roman" w:hAnsi="Times New Roman"/>
          <w:sz w:val="24"/>
          <w:szCs w:val="24"/>
        </w:rPr>
        <w:t>https://doi.org/10.1118/1.4851575</w:t>
      </w:r>
    </w:p>
    <w:p w14:paraId="0F374AD8" w14:textId="5630BA08"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proofErr w:type="spellStart"/>
      <w:r>
        <w:rPr>
          <w:rFonts w:ascii="Times New Roman" w:eastAsia="Times New Roman" w:hAnsi="Times New Roman"/>
          <w:sz w:val="24"/>
          <w:szCs w:val="24"/>
        </w:rPr>
        <w:t>Rabelo</w:t>
      </w:r>
      <w:proofErr w:type="spellEnd"/>
      <w:r>
        <w:rPr>
          <w:rFonts w:ascii="Times New Roman" w:eastAsia="Times New Roman" w:hAnsi="Times New Roman"/>
          <w:sz w:val="24"/>
          <w:szCs w:val="24"/>
        </w:rPr>
        <w:t xml:space="preserve"> GD, Coutinho-Camillo C, Kowalski LP, et al. (2017). Evaluation of cortical mandibular bone in patients with oral squamous cell carcinoma. </w:t>
      </w:r>
      <w:r>
        <w:rPr>
          <w:rFonts w:ascii="Times New Roman" w:eastAsia="Times New Roman" w:hAnsi="Times New Roman"/>
          <w:i/>
          <w:iCs/>
          <w:sz w:val="24"/>
          <w:szCs w:val="24"/>
        </w:rPr>
        <w:t xml:space="preserve">Clin Oral </w:t>
      </w:r>
      <w:proofErr w:type="spellStart"/>
      <w:r>
        <w:rPr>
          <w:rFonts w:ascii="Times New Roman" w:eastAsia="Times New Roman" w:hAnsi="Times New Roman"/>
          <w:i/>
          <w:iCs/>
          <w:sz w:val="24"/>
          <w:szCs w:val="24"/>
        </w:rPr>
        <w:t>Investig</w:t>
      </w:r>
      <w:proofErr w:type="spellEnd"/>
      <w:r>
        <w:rPr>
          <w:rFonts w:ascii="Times New Roman" w:eastAsia="Times New Roman" w:hAnsi="Times New Roman"/>
          <w:sz w:val="24"/>
          <w:szCs w:val="24"/>
        </w:rPr>
        <w:t xml:space="preserve"> 22: 783–790.</w:t>
      </w:r>
      <w:r w:rsidR="00F726AF">
        <w:rPr>
          <w:rFonts w:ascii="Times New Roman" w:eastAsia="Times New Roman" w:hAnsi="Times New Roman"/>
          <w:sz w:val="24"/>
          <w:szCs w:val="24"/>
        </w:rPr>
        <w:t xml:space="preserve"> </w:t>
      </w:r>
      <w:r w:rsidR="00F726AF" w:rsidRPr="00F726AF">
        <w:rPr>
          <w:rFonts w:ascii="Times New Roman" w:eastAsia="Times New Roman" w:hAnsi="Times New Roman"/>
          <w:sz w:val="24"/>
          <w:szCs w:val="24"/>
        </w:rPr>
        <w:t>https://doi.org/10.1007/s00784-017-2153-8</w:t>
      </w:r>
    </w:p>
    <w:p w14:paraId="573EEFAC" w14:textId="41528417"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lang w:val="es-ES"/>
        </w:rPr>
      </w:pPr>
      <w:r w:rsidRPr="003764E2">
        <w:rPr>
          <w:rFonts w:ascii="Times New Roman" w:eastAsia="Times New Roman" w:hAnsi="Times New Roman"/>
          <w:sz w:val="24"/>
          <w:szCs w:val="24"/>
          <w:lang w:val="es-ES"/>
        </w:rPr>
        <w:t xml:space="preserve">Blok Y, </w:t>
      </w:r>
      <w:proofErr w:type="spellStart"/>
      <w:r w:rsidRPr="003764E2">
        <w:rPr>
          <w:rFonts w:ascii="Times New Roman" w:eastAsia="Times New Roman" w:hAnsi="Times New Roman"/>
          <w:sz w:val="24"/>
          <w:szCs w:val="24"/>
          <w:lang w:val="es-ES"/>
        </w:rPr>
        <w:t>Gravesteijn</w:t>
      </w:r>
      <w:proofErr w:type="spellEnd"/>
      <w:r w:rsidRPr="003764E2">
        <w:rPr>
          <w:rFonts w:ascii="Times New Roman" w:eastAsia="Times New Roman" w:hAnsi="Times New Roman"/>
          <w:sz w:val="24"/>
          <w:szCs w:val="24"/>
          <w:lang w:val="es-ES"/>
        </w:rPr>
        <w:t xml:space="preserve"> F, van </w:t>
      </w:r>
      <w:proofErr w:type="spellStart"/>
      <w:r w:rsidRPr="003764E2">
        <w:rPr>
          <w:rFonts w:ascii="Times New Roman" w:eastAsia="Times New Roman" w:hAnsi="Times New Roman"/>
          <w:sz w:val="24"/>
          <w:szCs w:val="24"/>
          <w:lang w:val="es-ES"/>
        </w:rPr>
        <w:t>Ruijven</w:t>
      </w:r>
      <w:proofErr w:type="spellEnd"/>
      <w:r w:rsidRPr="003764E2">
        <w:rPr>
          <w:rFonts w:ascii="Times New Roman" w:eastAsia="Times New Roman" w:hAnsi="Times New Roman"/>
          <w:sz w:val="24"/>
          <w:szCs w:val="24"/>
          <w:lang w:val="es-ES"/>
        </w:rPr>
        <w:t xml:space="preserve"> L, et al. </w:t>
      </w:r>
      <w:r>
        <w:rPr>
          <w:rFonts w:ascii="Times New Roman" w:eastAsia="Times New Roman" w:hAnsi="Times New Roman"/>
          <w:sz w:val="24"/>
          <w:szCs w:val="24"/>
        </w:rPr>
        <w:t xml:space="preserve">(2013) Micro-architecture and mineralization of the human alveolar bone obtained with </w:t>
      </w:r>
      <w:proofErr w:type="spellStart"/>
      <w:r>
        <w:rPr>
          <w:rFonts w:ascii="Times New Roman" w:eastAsia="Times New Roman" w:hAnsi="Times New Roman"/>
          <w:sz w:val="24"/>
          <w:szCs w:val="24"/>
        </w:rPr>
        <w:t>microCT</w:t>
      </w:r>
      <w:proofErr w:type="spellEnd"/>
      <w:r>
        <w:rPr>
          <w:rFonts w:ascii="Times New Roman" w:eastAsia="Times New Roman" w:hAnsi="Times New Roman"/>
          <w:sz w:val="24"/>
          <w:szCs w:val="24"/>
        </w:rPr>
        <w:t xml:space="preserve">. </w:t>
      </w:r>
      <w:r>
        <w:rPr>
          <w:rFonts w:ascii="Times New Roman" w:eastAsia="Times New Roman" w:hAnsi="Times New Roman"/>
          <w:i/>
          <w:iCs/>
          <w:sz w:val="24"/>
          <w:szCs w:val="24"/>
          <w:lang w:val="es-ES"/>
        </w:rPr>
        <w:t>Arch Oral Biol</w:t>
      </w:r>
      <w:r>
        <w:rPr>
          <w:rFonts w:ascii="Times New Roman" w:eastAsia="Times New Roman" w:hAnsi="Times New Roman"/>
          <w:sz w:val="24"/>
          <w:szCs w:val="24"/>
          <w:lang w:val="es-ES"/>
        </w:rPr>
        <w:t xml:space="preserve"> 58: 621–627.</w:t>
      </w:r>
      <w:r w:rsidR="00F726AF">
        <w:rPr>
          <w:rFonts w:ascii="Times New Roman" w:eastAsia="Times New Roman" w:hAnsi="Times New Roman"/>
          <w:sz w:val="24"/>
          <w:szCs w:val="24"/>
          <w:lang w:val="es-ES"/>
        </w:rPr>
        <w:t xml:space="preserve"> </w:t>
      </w:r>
      <w:r w:rsidR="00F726AF" w:rsidRPr="00F726AF">
        <w:rPr>
          <w:rFonts w:ascii="Times New Roman" w:eastAsia="Times New Roman" w:hAnsi="Times New Roman"/>
          <w:sz w:val="24"/>
          <w:szCs w:val="24"/>
          <w:lang w:val="es-ES"/>
        </w:rPr>
        <w:t>https://doi.org/10.1016/j.archoralbio.2012.10.001</w:t>
      </w:r>
    </w:p>
    <w:p w14:paraId="247D83F6" w14:textId="4312D887"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r>
        <w:rPr>
          <w:rFonts w:ascii="Times New Roman" w:eastAsia="Times New Roman" w:hAnsi="Times New Roman"/>
          <w:sz w:val="24"/>
          <w:szCs w:val="24"/>
          <w:lang w:val="es-ES"/>
        </w:rPr>
        <w:t xml:space="preserve">Romao M, Marques M, Cortes A, et al. </w:t>
      </w:r>
      <w:r>
        <w:rPr>
          <w:rFonts w:ascii="Times New Roman" w:eastAsia="Times New Roman" w:hAnsi="Times New Roman"/>
          <w:sz w:val="24"/>
          <w:szCs w:val="24"/>
        </w:rPr>
        <w:t xml:space="preserve">(2015) Micro-computed tomography and </w:t>
      </w:r>
      <w:proofErr w:type="spellStart"/>
      <w:r>
        <w:rPr>
          <w:rFonts w:ascii="Times New Roman" w:eastAsia="Times New Roman" w:hAnsi="Times New Roman"/>
          <w:sz w:val="24"/>
          <w:szCs w:val="24"/>
        </w:rPr>
        <w:t>histomorphometric</w:t>
      </w:r>
      <w:proofErr w:type="spellEnd"/>
      <w:r>
        <w:rPr>
          <w:rFonts w:ascii="Times New Roman" w:eastAsia="Times New Roman" w:hAnsi="Times New Roman"/>
          <w:sz w:val="24"/>
          <w:szCs w:val="24"/>
        </w:rPr>
        <w:t xml:space="preserve"> analysis of human alveolar bone repair induced by laser phototherapy: a pilot study. </w:t>
      </w:r>
      <w:r>
        <w:rPr>
          <w:rFonts w:ascii="Times New Roman" w:eastAsia="Times New Roman" w:hAnsi="Times New Roman"/>
          <w:i/>
          <w:iCs/>
          <w:sz w:val="24"/>
          <w:szCs w:val="24"/>
        </w:rPr>
        <w:t xml:space="preserve">Int J Oral </w:t>
      </w:r>
      <w:proofErr w:type="spellStart"/>
      <w:r>
        <w:rPr>
          <w:rFonts w:ascii="Times New Roman" w:eastAsia="Times New Roman" w:hAnsi="Times New Roman"/>
          <w:i/>
          <w:iCs/>
          <w:sz w:val="24"/>
          <w:szCs w:val="24"/>
        </w:rPr>
        <w:t>Maxillofac</w:t>
      </w:r>
      <w:proofErr w:type="spellEnd"/>
      <w:r>
        <w:rPr>
          <w:rFonts w:ascii="Times New Roman" w:eastAsia="Times New Roman" w:hAnsi="Times New Roman"/>
          <w:i/>
          <w:iCs/>
          <w:sz w:val="24"/>
          <w:szCs w:val="24"/>
        </w:rPr>
        <w:t xml:space="preserve"> Surg </w:t>
      </w:r>
      <w:r>
        <w:rPr>
          <w:rFonts w:ascii="Times New Roman" w:eastAsia="Times New Roman" w:hAnsi="Times New Roman"/>
          <w:sz w:val="24"/>
          <w:szCs w:val="24"/>
        </w:rPr>
        <w:t>44: 1521–1528.</w:t>
      </w:r>
      <w:r w:rsidR="00F726AF">
        <w:rPr>
          <w:rFonts w:ascii="Times New Roman" w:eastAsia="Times New Roman" w:hAnsi="Times New Roman"/>
          <w:sz w:val="24"/>
          <w:szCs w:val="24"/>
        </w:rPr>
        <w:t xml:space="preserve"> </w:t>
      </w:r>
      <w:r w:rsidR="00F726AF" w:rsidRPr="00F726AF">
        <w:rPr>
          <w:rFonts w:ascii="Times New Roman" w:eastAsia="Times New Roman" w:hAnsi="Times New Roman"/>
          <w:sz w:val="24"/>
          <w:szCs w:val="24"/>
        </w:rPr>
        <w:t>https://doi.org/10.1016/j.ijom.2015.08.989</w:t>
      </w:r>
    </w:p>
    <w:p w14:paraId="7E3C2C1C" w14:textId="1E511C14" w:rsidR="00F726AF"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r>
        <w:rPr>
          <w:rFonts w:ascii="Times New Roman" w:eastAsia="Times New Roman" w:hAnsi="Times New Roman"/>
          <w:sz w:val="24"/>
          <w:szCs w:val="24"/>
        </w:rPr>
        <w:t xml:space="preserve">Norton MR and Gamble C (2001) Bone classification: an objective scale of bone density using the computerized tomography scan. </w:t>
      </w:r>
      <w:r>
        <w:rPr>
          <w:rFonts w:ascii="Times New Roman" w:eastAsia="Times New Roman" w:hAnsi="Times New Roman"/>
          <w:i/>
          <w:iCs/>
          <w:sz w:val="24"/>
          <w:szCs w:val="24"/>
        </w:rPr>
        <w:t>Clin Oral Implant Res</w:t>
      </w:r>
      <w:r>
        <w:rPr>
          <w:rFonts w:ascii="Times New Roman" w:eastAsia="Times New Roman" w:hAnsi="Times New Roman"/>
          <w:sz w:val="24"/>
          <w:szCs w:val="24"/>
        </w:rPr>
        <w:t xml:space="preserve"> 12: 79–84.</w:t>
      </w:r>
      <w:r w:rsidR="00F726AF">
        <w:rPr>
          <w:rFonts w:ascii="Times New Roman" w:eastAsia="Times New Roman" w:hAnsi="Times New Roman"/>
          <w:sz w:val="24"/>
          <w:szCs w:val="24"/>
        </w:rPr>
        <w:t xml:space="preserve"> </w:t>
      </w:r>
      <w:r w:rsidR="00F726AF" w:rsidRPr="00F726AF">
        <w:rPr>
          <w:rFonts w:ascii="Times New Roman" w:eastAsia="Times New Roman" w:hAnsi="Times New Roman"/>
          <w:sz w:val="24"/>
          <w:szCs w:val="24"/>
        </w:rPr>
        <w:t>https://doi.org/10.1034/j.1600-0501.2001.012001079.x</w:t>
      </w:r>
    </w:p>
    <w:p w14:paraId="2122BB1C" w14:textId="78F254CD" w:rsidR="001612D5" w:rsidRPr="00F726AF" w:rsidRDefault="00F726AF" w:rsidP="00F726AF">
      <w:pPr>
        <w:widowControl/>
        <w:jc w:val="left"/>
        <w:rPr>
          <w:rFonts w:ascii="Times New Roman" w:eastAsiaTheme="minorEastAsia" w:hAnsi="Times New Roman"/>
          <w:sz w:val="24"/>
          <w:szCs w:val="24"/>
        </w:rPr>
      </w:pPr>
      <w:r>
        <w:rPr>
          <w:rFonts w:ascii="Times New Roman" w:eastAsia="Times New Roman" w:hAnsi="Times New Roman"/>
          <w:sz w:val="24"/>
          <w:szCs w:val="24"/>
        </w:rPr>
        <w:br w:type="page"/>
      </w:r>
    </w:p>
    <w:p w14:paraId="657533C4" w14:textId="71AE8910"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r>
        <w:rPr>
          <w:rFonts w:ascii="Times New Roman" w:eastAsia="Times New Roman" w:hAnsi="Times New Roman"/>
          <w:sz w:val="24"/>
          <w:szCs w:val="24"/>
        </w:rPr>
        <w:lastRenderedPageBreak/>
        <w:t xml:space="preserve">Annunziata M and </w:t>
      </w:r>
      <w:proofErr w:type="spellStart"/>
      <w:r>
        <w:rPr>
          <w:rFonts w:ascii="Times New Roman" w:eastAsia="Times New Roman" w:hAnsi="Times New Roman"/>
          <w:sz w:val="24"/>
          <w:szCs w:val="24"/>
        </w:rPr>
        <w:t>Guida</w:t>
      </w:r>
      <w:proofErr w:type="spellEnd"/>
      <w:r>
        <w:rPr>
          <w:rFonts w:ascii="Times New Roman" w:eastAsia="Times New Roman" w:hAnsi="Times New Roman"/>
          <w:sz w:val="24"/>
          <w:szCs w:val="24"/>
        </w:rPr>
        <w:t xml:space="preserve"> L (2015) The effect of titanium surface modifications on dental implant osseointegration. </w:t>
      </w:r>
      <w:r>
        <w:rPr>
          <w:rFonts w:ascii="Times New Roman" w:eastAsia="Times New Roman" w:hAnsi="Times New Roman"/>
          <w:i/>
          <w:iCs/>
          <w:sz w:val="24"/>
          <w:szCs w:val="24"/>
        </w:rPr>
        <w:t>Craniofacial Sutures</w:t>
      </w:r>
      <w:r>
        <w:rPr>
          <w:rFonts w:ascii="Times New Roman" w:eastAsia="Times New Roman" w:hAnsi="Times New Roman"/>
          <w:sz w:val="24"/>
          <w:szCs w:val="24"/>
        </w:rPr>
        <w:t xml:space="preserve"> 17: 62–77.</w:t>
      </w:r>
      <w:r w:rsidR="00F726AF">
        <w:rPr>
          <w:rFonts w:ascii="Times New Roman" w:eastAsia="Times New Roman" w:hAnsi="Times New Roman"/>
          <w:sz w:val="24"/>
          <w:szCs w:val="24"/>
        </w:rPr>
        <w:t xml:space="preserve"> </w:t>
      </w:r>
      <w:r w:rsidR="00F726AF" w:rsidRPr="00F726AF">
        <w:rPr>
          <w:rFonts w:ascii="Times New Roman" w:eastAsia="Times New Roman" w:hAnsi="Times New Roman"/>
          <w:sz w:val="24"/>
          <w:szCs w:val="24"/>
        </w:rPr>
        <w:t>https://doi.org/10.1159/000381694</w:t>
      </w:r>
    </w:p>
    <w:p w14:paraId="5C4FE14F" w14:textId="6CFCE540"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r>
        <w:rPr>
          <w:rFonts w:ascii="Times New Roman" w:eastAsia="Times New Roman" w:hAnsi="Times New Roman"/>
          <w:sz w:val="24"/>
          <w:szCs w:val="24"/>
        </w:rPr>
        <w:t xml:space="preserve">Junker R, </w:t>
      </w:r>
      <w:proofErr w:type="spellStart"/>
      <w:r>
        <w:rPr>
          <w:rFonts w:ascii="Times New Roman" w:eastAsia="Times New Roman" w:hAnsi="Times New Roman"/>
          <w:sz w:val="24"/>
          <w:szCs w:val="24"/>
        </w:rPr>
        <w:t>Dimakis</w:t>
      </w:r>
      <w:proofErr w:type="spell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Thoneick</w:t>
      </w:r>
      <w:proofErr w:type="spellEnd"/>
      <w:r>
        <w:rPr>
          <w:rFonts w:ascii="Times New Roman" w:eastAsia="Times New Roman" w:hAnsi="Times New Roman"/>
          <w:sz w:val="24"/>
          <w:szCs w:val="24"/>
        </w:rPr>
        <w:t xml:space="preserve"> M, et al. (2009) Effects of implant surface coatings and composition on bone integration: a systematic review. </w:t>
      </w:r>
      <w:r>
        <w:rPr>
          <w:rFonts w:ascii="Times New Roman" w:eastAsia="Times New Roman" w:hAnsi="Times New Roman"/>
          <w:i/>
          <w:iCs/>
          <w:sz w:val="24"/>
          <w:szCs w:val="24"/>
        </w:rPr>
        <w:t>Clin Oral Implant Res</w:t>
      </w:r>
      <w:r>
        <w:rPr>
          <w:rFonts w:ascii="Times New Roman" w:eastAsia="Times New Roman" w:hAnsi="Times New Roman"/>
          <w:sz w:val="24"/>
          <w:szCs w:val="24"/>
        </w:rPr>
        <w:t xml:space="preserve"> 20: 185–206.</w:t>
      </w:r>
      <w:r w:rsidR="00F726AF">
        <w:rPr>
          <w:rFonts w:ascii="Times New Roman" w:eastAsia="Times New Roman" w:hAnsi="Times New Roman"/>
          <w:sz w:val="24"/>
          <w:szCs w:val="24"/>
        </w:rPr>
        <w:t xml:space="preserve"> </w:t>
      </w:r>
      <w:r w:rsidR="00F726AF" w:rsidRPr="00F726AF">
        <w:rPr>
          <w:rFonts w:ascii="Times New Roman" w:eastAsia="Times New Roman" w:hAnsi="Times New Roman"/>
          <w:sz w:val="24"/>
          <w:szCs w:val="24"/>
        </w:rPr>
        <w:t>https://doi.org/10.1111/j.1600-0501.2009.01777.x</w:t>
      </w:r>
    </w:p>
    <w:p w14:paraId="7F837E3E" w14:textId="6B775F46" w:rsidR="001612D5" w:rsidRDefault="00000000" w:rsidP="001647C5">
      <w:pPr>
        <w:pStyle w:val="Prrafodelista"/>
        <w:numPr>
          <w:ilvl w:val="0"/>
          <w:numId w:val="4"/>
        </w:numPr>
        <w:spacing w:line="300" w:lineRule="atLeast"/>
        <w:ind w:firstLineChars="0"/>
        <w:rPr>
          <w:rFonts w:ascii="Times New Roman" w:hAnsi="Times New Roman"/>
          <w:color w:val="000000" w:themeColor="text1"/>
          <w:sz w:val="24"/>
          <w:szCs w:val="24"/>
        </w:rPr>
      </w:pPr>
      <w:r>
        <w:rPr>
          <w:rFonts w:ascii="Times New Roman" w:hAnsi="Times New Roman"/>
          <w:color w:val="000000" w:themeColor="text1"/>
          <w:sz w:val="24"/>
          <w:szCs w:val="24"/>
        </w:rPr>
        <w:t xml:space="preserve">Chavez MB, Chu EY, </w:t>
      </w:r>
      <w:proofErr w:type="spellStart"/>
      <w:r>
        <w:rPr>
          <w:rFonts w:ascii="Times New Roman" w:hAnsi="Times New Roman"/>
          <w:color w:val="000000" w:themeColor="text1"/>
          <w:sz w:val="24"/>
          <w:szCs w:val="24"/>
        </w:rPr>
        <w:t>Kram</w:t>
      </w:r>
      <w:proofErr w:type="spellEnd"/>
      <w:r>
        <w:rPr>
          <w:rFonts w:ascii="Times New Roman" w:hAnsi="Times New Roman"/>
          <w:color w:val="000000" w:themeColor="text1"/>
          <w:sz w:val="24"/>
          <w:szCs w:val="24"/>
        </w:rPr>
        <w:t xml:space="preserve"> V, et al. (2021) Guidelines for micro-computed tomography analysis of rodent dentoalveolar tissues. </w:t>
      </w:r>
      <w:r>
        <w:rPr>
          <w:rFonts w:ascii="Times New Roman" w:hAnsi="Times New Roman"/>
          <w:i/>
          <w:iCs/>
          <w:color w:val="000000" w:themeColor="text1"/>
          <w:sz w:val="24"/>
          <w:szCs w:val="24"/>
        </w:rPr>
        <w:t xml:space="preserve">JBMR Plus </w:t>
      </w:r>
      <w:r>
        <w:rPr>
          <w:rFonts w:ascii="Times New Roman" w:hAnsi="Times New Roman"/>
          <w:color w:val="000000" w:themeColor="text1"/>
          <w:sz w:val="24"/>
          <w:szCs w:val="24"/>
        </w:rPr>
        <w:t>5: e10474.</w:t>
      </w:r>
      <w:r w:rsidR="00F726AF">
        <w:rPr>
          <w:rFonts w:ascii="Times New Roman" w:hAnsi="Times New Roman"/>
          <w:color w:val="000000" w:themeColor="text1"/>
          <w:sz w:val="24"/>
          <w:szCs w:val="24"/>
        </w:rPr>
        <w:t xml:space="preserve"> </w:t>
      </w:r>
      <w:r w:rsidR="00F726AF" w:rsidRPr="00F726AF">
        <w:rPr>
          <w:rFonts w:ascii="Times New Roman" w:hAnsi="Times New Roman"/>
          <w:color w:val="000000" w:themeColor="text1"/>
          <w:sz w:val="24"/>
          <w:szCs w:val="24"/>
        </w:rPr>
        <w:t>https://doi.org/10.1002/jbm4.10474</w:t>
      </w:r>
    </w:p>
    <w:p w14:paraId="728F1BF6" w14:textId="2BCC1F35"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r>
        <w:rPr>
          <w:rFonts w:ascii="Times New Roman" w:eastAsia="Times New Roman" w:hAnsi="Times New Roman"/>
          <w:spacing w:val="-2"/>
          <w:sz w:val="24"/>
          <w:szCs w:val="24"/>
        </w:rPr>
        <w:t xml:space="preserve">Molly L (2006) Bone density and primary stability in implant therapy. </w:t>
      </w:r>
      <w:r>
        <w:rPr>
          <w:rFonts w:ascii="Times New Roman" w:eastAsia="Times New Roman" w:hAnsi="Times New Roman"/>
          <w:i/>
          <w:iCs/>
          <w:spacing w:val="-2"/>
          <w:sz w:val="24"/>
          <w:szCs w:val="24"/>
        </w:rPr>
        <w:t xml:space="preserve">Clin Oral Implant         Res </w:t>
      </w:r>
      <w:r>
        <w:rPr>
          <w:rFonts w:ascii="Times New Roman" w:eastAsia="Times New Roman" w:hAnsi="Times New Roman"/>
          <w:spacing w:val="-2"/>
          <w:sz w:val="24"/>
          <w:szCs w:val="24"/>
        </w:rPr>
        <w:t>17: 124–135.</w:t>
      </w:r>
      <w:r w:rsidR="00F726AF">
        <w:rPr>
          <w:rFonts w:ascii="Times New Roman" w:eastAsia="Times New Roman" w:hAnsi="Times New Roman"/>
          <w:spacing w:val="-2"/>
          <w:sz w:val="24"/>
          <w:szCs w:val="24"/>
        </w:rPr>
        <w:t xml:space="preserve"> </w:t>
      </w:r>
      <w:r w:rsidR="00F726AF" w:rsidRPr="00F726AF">
        <w:rPr>
          <w:rFonts w:ascii="Times New Roman" w:eastAsia="Times New Roman" w:hAnsi="Times New Roman"/>
          <w:spacing w:val="-2"/>
          <w:sz w:val="24"/>
          <w:szCs w:val="24"/>
        </w:rPr>
        <w:t>https://doi.org/10.1111/j.1600-0501.2006.01356.x</w:t>
      </w:r>
    </w:p>
    <w:p w14:paraId="7730ADEA" w14:textId="7E90679C"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r>
        <w:rPr>
          <w:rFonts w:ascii="Times New Roman" w:eastAsia="Times New Roman" w:hAnsi="Times New Roman"/>
          <w:sz w:val="24"/>
          <w:szCs w:val="24"/>
        </w:rPr>
        <w:t xml:space="preserve">De Smet E, </w:t>
      </w:r>
      <w:proofErr w:type="spellStart"/>
      <w:r>
        <w:rPr>
          <w:rFonts w:ascii="Times New Roman" w:eastAsia="Times New Roman" w:hAnsi="Times New Roman"/>
          <w:sz w:val="24"/>
          <w:szCs w:val="24"/>
        </w:rPr>
        <w:t>Jaecques</w:t>
      </w:r>
      <w:proofErr w:type="spellEnd"/>
      <w:r>
        <w:rPr>
          <w:rFonts w:ascii="Times New Roman" w:eastAsia="Times New Roman" w:hAnsi="Times New Roman"/>
          <w:sz w:val="24"/>
          <w:szCs w:val="24"/>
        </w:rPr>
        <w:t xml:space="preserve"> S, </w:t>
      </w:r>
      <w:proofErr w:type="spellStart"/>
      <w:r>
        <w:rPr>
          <w:rFonts w:ascii="Times New Roman" w:eastAsia="Times New Roman" w:hAnsi="Times New Roman"/>
          <w:sz w:val="24"/>
          <w:szCs w:val="24"/>
        </w:rPr>
        <w:t>Wevers</w:t>
      </w:r>
      <w:proofErr w:type="spellEnd"/>
      <w:r>
        <w:rPr>
          <w:rFonts w:ascii="Times New Roman" w:eastAsia="Times New Roman" w:hAnsi="Times New Roman"/>
          <w:sz w:val="24"/>
          <w:szCs w:val="24"/>
        </w:rPr>
        <w:t xml:space="preserve"> M, et al. (2006) Effect of controlled early implant loading on bone healing and bone mass in guinea pigs, as assessed by micro-CT and histology. </w:t>
      </w:r>
      <w:proofErr w:type="spellStart"/>
      <w:r>
        <w:rPr>
          <w:rFonts w:ascii="Times New Roman" w:eastAsia="Times New Roman" w:hAnsi="Times New Roman"/>
          <w:i/>
          <w:iCs/>
          <w:sz w:val="24"/>
          <w:szCs w:val="24"/>
        </w:rPr>
        <w:t>Eur</w:t>
      </w:r>
      <w:proofErr w:type="spellEnd"/>
      <w:r>
        <w:rPr>
          <w:rFonts w:ascii="Times New Roman" w:eastAsia="Times New Roman" w:hAnsi="Times New Roman"/>
          <w:i/>
          <w:iCs/>
          <w:sz w:val="24"/>
          <w:szCs w:val="24"/>
        </w:rPr>
        <w:t xml:space="preserve"> J Oral       Sci </w:t>
      </w:r>
      <w:r>
        <w:rPr>
          <w:rFonts w:ascii="Times New Roman" w:eastAsia="Times New Roman" w:hAnsi="Times New Roman"/>
          <w:sz w:val="24"/>
          <w:szCs w:val="24"/>
        </w:rPr>
        <w:t>114: 232–242.</w:t>
      </w:r>
      <w:r w:rsidR="00191644">
        <w:rPr>
          <w:rFonts w:ascii="Times New Roman" w:eastAsia="Times New Roman" w:hAnsi="Times New Roman"/>
          <w:sz w:val="24"/>
          <w:szCs w:val="24"/>
        </w:rPr>
        <w:t xml:space="preserve"> </w:t>
      </w:r>
      <w:r w:rsidR="00191644" w:rsidRPr="00191644">
        <w:rPr>
          <w:rFonts w:ascii="Times New Roman" w:eastAsia="Times New Roman" w:hAnsi="Times New Roman"/>
          <w:sz w:val="24"/>
          <w:szCs w:val="24"/>
        </w:rPr>
        <w:t>https://doi.org/10.1111/j.1600-0722.2006.00355.x</w:t>
      </w:r>
    </w:p>
    <w:p w14:paraId="218CEC76" w14:textId="17ADEF97"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r>
        <w:rPr>
          <w:rFonts w:ascii="Times New Roman" w:eastAsia="Times New Roman" w:hAnsi="Times New Roman"/>
          <w:sz w:val="24"/>
          <w:szCs w:val="24"/>
        </w:rPr>
        <w:t xml:space="preserve">Barrett JF and </w:t>
      </w:r>
      <w:proofErr w:type="spellStart"/>
      <w:r>
        <w:rPr>
          <w:rFonts w:ascii="Times New Roman" w:eastAsia="Times New Roman" w:hAnsi="Times New Roman"/>
          <w:sz w:val="24"/>
          <w:szCs w:val="24"/>
        </w:rPr>
        <w:t>Keat</w:t>
      </w:r>
      <w:proofErr w:type="spellEnd"/>
      <w:r>
        <w:rPr>
          <w:rFonts w:ascii="Times New Roman" w:eastAsia="Times New Roman" w:hAnsi="Times New Roman"/>
          <w:sz w:val="24"/>
          <w:szCs w:val="24"/>
        </w:rPr>
        <w:t xml:space="preserve"> N (2004) Artifacts in CT: recognition and avoidance.           </w:t>
      </w:r>
      <w:proofErr w:type="spellStart"/>
      <w:r>
        <w:rPr>
          <w:rFonts w:ascii="Times New Roman" w:eastAsia="Times New Roman" w:hAnsi="Times New Roman"/>
          <w:i/>
          <w:iCs/>
          <w:sz w:val="24"/>
          <w:szCs w:val="24"/>
        </w:rPr>
        <w:t>Radiographics</w:t>
      </w:r>
      <w:proofErr w:type="spellEnd"/>
      <w:r>
        <w:rPr>
          <w:rFonts w:ascii="Times New Roman" w:eastAsia="Times New Roman" w:hAnsi="Times New Roman"/>
          <w:i/>
          <w:iCs/>
          <w:sz w:val="24"/>
          <w:szCs w:val="24"/>
        </w:rPr>
        <w:t xml:space="preserve"> </w:t>
      </w:r>
      <w:r>
        <w:rPr>
          <w:rFonts w:ascii="Times New Roman" w:eastAsia="Times New Roman" w:hAnsi="Times New Roman"/>
          <w:sz w:val="24"/>
          <w:szCs w:val="24"/>
        </w:rPr>
        <w:t>24: 1679–1691.</w:t>
      </w:r>
      <w:r w:rsidR="00191644">
        <w:rPr>
          <w:rFonts w:ascii="Times New Roman" w:eastAsia="Times New Roman" w:hAnsi="Times New Roman"/>
          <w:sz w:val="24"/>
          <w:szCs w:val="24"/>
        </w:rPr>
        <w:t xml:space="preserve"> </w:t>
      </w:r>
      <w:r w:rsidR="00191644" w:rsidRPr="00191644">
        <w:rPr>
          <w:rFonts w:ascii="Times New Roman" w:eastAsia="Times New Roman" w:hAnsi="Times New Roman"/>
          <w:sz w:val="24"/>
          <w:szCs w:val="24"/>
        </w:rPr>
        <w:t>https://doi.org/10.1148/rg.246045065</w:t>
      </w:r>
    </w:p>
    <w:p w14:paraId="3658277C" w14:textId="525B5C79"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proofErr w:type="spellStart"/>
      <w:r w:rsidRPr="003764E2">
        <w:rPr>
          <w:rFonts w:ascii="Times New Roman" w:eastAsia="Times New Roman" w:hAnsi="Times New Roman"/>
          <w:sz w:val="24"/>
          <w:szCs w:val="24"/>
          <w:lang w:val="es-ES"/>
        </w:rPr>
        <w:t>Rebaudi</w:t>
      </w:r>
      <w:proofErr w:type="spellEnd"/>
      <w:r w:rsidRPr="003764E2">
        <w:rPr>
          <w:rFonts w:ascii="Times New Roman" w:eastAsia="Times New Roman" w:hAnsi="Times New Roman"/>
          <w:sz w:val="24"/>
          <w:szCs w:val="24"/>
          <w:lang w:val="es-ES"/>
        </w:rPr>
        <w:t xml:space="preserve"> A, </w:t>
      </w:r>
      <w:proofErr w:type="spellStart"/>
      <w:r w:rsidRPr="003764E2">
        <w:rPr>
          <w:rFonts w:ascii="Times New Roman" w:eastAsia="Times New Roman" w:hAnsi="Times New Roman"/>
          <w:sz w:val="24"/>
          <w:szCs w:val="24"/>
          <w:lang w:val="es-ES"/>
        </w:rPr>
        <w:t>Trisi</w:t>
      </w:r>
      <w:proofErr w:type="spellEnd"/>
      <w:r w:rsidRPr="003764E2">
        <w:rPr>
          <w:rFonts w:ascii="Times New Roman" w:eastAsia="Times New Roman" w:hAnsi="Times New Roman"/>
          <w:sz w:val="24"/>
          <w:szCs w:val="24"/>
          <w:lang w:val="es-ES"/>
        </w:rPr>
        <w:t xml:space="preserve"> P, Cella R, et al. </w:t>
      </w:r>
      <w:r>
        <w:rPr>
          <w:rFonts w:ascii="Times New Roman" w:eastAsia="Times New Roman" w:hAnsi="Times New Roman"/>
          <w:sz w:val="24"/>
          <w:szCs w:val="24"/>
        </w:rPr>
        <w:t>(2010) Preoperative evaluation of bone quality and bone density using a novel CT/</w:t>
      </w:r>
      <w:proofErr w:type="spellStart"/>
      <w:r>
        <w:rPr>
          <w:rFonts w:ascii="Times New Roman" w:eastAsia="Times New Roman" w:hAnsi="Times New Roman"/>
          <w:sz w:val="24"/>
          <w:szCs w:val="24"/>
        </w:rPr>
        <w:t>microCT</w:t>
      </w:r>
      <w:proofErr w:type="spellEnd"/>
      <w:r>
        <w:rPr>
          <w:rFonts w:ascii="Times New Roman" w:eastAsia="Times New Roman" w:hAnsi="Times New Roman"/>
          <w:sz w:val="24"/>
          <w:szCs w:val="24"/>
        </w:rPr>
        <w:t xml:space="preserve"> based hard-normal-soft classification system. </w:t>
      </w:r>
      <w:r>
        <w:rPr>
          <w:rFonts w:ascii="Times New Roman" w:eastAsia="Times New Roman" w:hAnsi="Times New Roman"/>
          <w:i/>
          <w:iCs/>
          <w:sz w:val="24"/>
          <w:szCs w:val="24"/>
        </w:rPr>
        <w:t xml:space="preserve">Int J Oral </w:t>
      </w:r>
      <w:proofErr w:type="spellStart"/>
      <w:r>
        <w:rPr>
          <w:rFonts w:ascii="Times New Roman" w:eastAsia="Times New Roman" w:hAnsi="Times New Roman"/>
          <w:i/>
          <w:iCs/>
          <w:sz w:val="24"/>
          <w:szCs w:val="24"/>
        </w:rPr>
        <w:t>Maxillofac</w:t>
      </w:r>
      <w:proofErr w:type="spellEnd"/>
      <w:r>
        <w:rPr>
          <w:rFonts w:ascii="Times New Roman" w:eastAsia="Times New Roman" w:hAnsi="Times New Roman"/>
          <w:i/>
          <w:iCs/>
          <w:sz w:val="24"/>
          <w:szCs w:val="24"/>
        </w:rPr>
        <w:t xml:space="preserve"> Implants</w:t>
      </w:r>
      <w:r>
        <w:rPr>
          <w:rFonts w:ascii="Times New Roman" w:eastAsia="Times New Roman" w:hAnsi="Times New Roman"/>
          <w:sz w:val="24"/>
          <w:szCs w:val="24"/>
        </w:rPr>
        <w:t xml:space="preserve"> 25: 75–85.</w:t>
      </w:r>
      <w:r w:rsidR="00191644">
        <w:rPr>
          <w:rFonts w:ascii="Times New Roman" w:eastAsia="Times New Roman" w:hAnsi="Times New Roman"/>
          <w:sz w:val="24"/>
          <w:szCs w:val="24"/>
        </w:rPr>
        <w:t xml:space="preserve"> </w:t>
      </w:r>
      <w:r w:rsidR="00191644" w:rsidRPr="00191644">
        <w:rPr>
          <w:rFonts w:ascii="Times New Roman" w:eastAsia="Times New Roman" w:hAnsi="Times New Roman"/>
          <w:sz w:val="24"/>
          <w:szCs w:val="24"/>
        </w:rPr>
        <w:t>https://pubmed.ncbi.nlm.nih.gov/20209189</w:t>
      </w:r>
    </w:p>
    <w:p w14:paraId="6EEF97DC" w14:textId="7CA9183A" w:rsidR="001612D5" w:rsidRDefault="00000000" w:rsidP="001647C5">
      <w:pPr>
        <w:pStyle w:val="Prrafodelista"/>
        <w:numPr>
          <w:ilvl w:val="0"/>
          <w:numId w:val="4"/>
        </w:numPr>
        <w:spacing w:line="300" w:lineRule="atLeast"/>
        <w:ind w:firstLineChars="0"/>
        <w:rPr>
          <w:rFonts w:ascii="Times New Roman" w:eastAsia="Times New Roman" w:hAnsi="Times New Roman"/>
          <w:sz w:val="24"/>
          <w:szCs w:val="24"/>
        </w:rPr>
      </w:pPr>
      <w:proofErr w:type="spellStart"/>
      <w:r>
        <w:rPr>
          <w:rFonts w:ascii="Times New Roman" w:eastAsia="Times New Roman" w:hAnsi="Times New Roman"/>
          <w:sz w:val="24"/>
          <w:szCs w:val="24"/>
        </w:rPr>
        <w:t>Rebaudi</w:t>
      </w:r>
      <w:proofErr w:type="spellEnd"/>
      <w:r>
        <w:rPr>
          <w:rFonts w:ascii="Times New Roman" w:eastAsia="Times New Roman" w:hAnsi="Times New Roman"/>
          <w:sz w:val="24"/>
          <w:szCs w:val="24"/>
        </w:rPr>
        <w:t xml:space="preserve"> A, Koller B, </w:t>
      </w:r>
      <w:proofErr w:type="spellStart"/>
      <w:r>
        <w:rPr>
          <w:rFonts w:ascii="Times New Roman" w:eastAsia="Times New Roman" w:hAnsi="Times New Roman"/>
          <w:sz w:val="24"/>
          <w:szCs w:val="24"/>
        </w:rPr>
        <w:t>Laib</w:t>
      </w:r>
      <w:proofErr w:type="spellEnd"/>
      <w:r>
        <w:rPr>
          <w:rFonts w:ascii="Times New Roman" w:eastAsia="Times New Roman" w:hAnsi="Times New Roman"/>
          <w:sz w:val="24"/>
          <w:szCs w:val="24"/>
        </w:rPr>
        <w:t xml:space="preserve"> A, et al. (2004) Microcomputed tomographic analysis of the peri-implant bone. </w:t>
      </w:r>
      <w:r>
        <w:rPr>
          <w:rFonts w:ascii="Times New Roman" w:eastAsia="Times New Roman" w:hAnsi="Times New Roman"/>
          <w:i/>
          <w:iCs/>
          <w:sz w:val="24"/>
          <w:szCs w:val="24"/>
        </w:rPr>
        <w:t xml:space="preserve">Int J Periodontics </w:t>
      </w:r>
      <w:proofErr w:type="spellStart"/>
      <w:r>
        <w:rPr>
          <w:rFonts w:ascii="Times New Roman" w:eastAsia="Times New Roman" w:hAnsi="Times New Roman"/>
          <w:i/>
          <w:iCs/>
          <w:sz w:val="24"/>
          <w:szCs w:val="24"/>
        </w:rPr>
        <w:t>Restor</w:t>
      </w:r>
      <w:proofErr w:type="spellEnd"/>
      <w:r>
        <w:rPr>
          <w:rFonts w:ascii="Times New Roman" w:eastAsia="Times New Roman" w:hAnsi="Times New Roman"/>
          <w:i/>
          <w:iCs/>
          <w:sz w:val="24"/>
          <w:szCs w:val="24"/>
        </w:rPr>
        <w:t xml:space="preserve"> Dent </w:t>
      </w:r>
      <w:r>
        <w:rPr>
          <w:rFonts w:ascii="Times New Roman" w:eastAsia="Times New Roman" w:hAnsi="Times New Roman"/>
          <w:sz w:val="24"/>
          <w:szCs w:val="24"/>
        </w:rPr>
        <w:t>24: 316–325.</w:t>
      </w:r>
      <w:r w:rsidR="00191644">
        <w:rPr>
          <w:rFonts w:ascii="Times New Roman" w:eastAsia="Times New Roman" w:hAnsi="Times New Roman"/>
          <w:sz w:val="24"/>
          <w:szCs w:val="24"/>
        </w:rPr>
        <w:t xml:space="preserve"> </w:t>
      </w:r>
      <w:r w:rsidR="00191644" w:rsidRPr="00191644">
        <w:rPr>
          <w:rFonts w:ascii="Times New Roman" w:eastAsia="Times New Roman" w:hAnsi="Times New Roman"/>
          <w:sz w:val="24"/>
          <w:szCs w:val="24"/>
        </w:rPr>
        <w:t>https://pubmed.ncbi.nlm.nih.gov/15446401</w:t>
      </w:r>
    </w:p>
    <w:p w14:paraId="78A1CEA0" w14:textId="5DBE1CCC" w:rsidR="001612D5" w:rsidRDefault="00000000" w:rsidP="001647C5">
      <w:pPr>
        <w:pStyle w:val="Prrafodelista"/>
        <w:numPr>
          <w:ilvl w:val="0"/>
          <w:numId w:val="4"/>
        </w:numPr>
        <w:spacing w:line="300" w:lineRule="atLeast"/>
        <w:ind w:firstLineChars="0"/>
        <w:rPr>
          <w:rFonts w:ascii="Times New Roman" w:eastAsia="Times New Roman" w:hAnsi="Times New Roman"/>
          <w:spacing w:val="-3"/>
          <w:sz w:val="24"/>
          <w:szCs w:val="24"/>
        </w:rPr>
      </w:pPr>
      <w:r>
        <w:rPr>
          <w:rFonts w:ascii="Times New Roman" w:eastAsia="Times New Roman" w:hAnsi="Times New Roman"/>
          <w:sz w:val="24"/>
          <w:szCs w:val="24"/>
        </w:rPr>
        <w:t xml:space="preserve">Song JW, Cha JY, Bechtold TE, et al. (2004) Influence of peri-implant artifacts on bone morphometric analysis with microcomputed tomography. </w:t>
      </w:r>
      <w:r>
        <w:rPr>
          <w:rFonts w:ascii="Times New Roman" w:eastAsia="Times New Roman" w:hAnsi="Times New Roman"/>
          <w:i/>
          <w:iCs/>
          <w:sz w:val="24"/>
          <w:szCs w:val="24"/>
        </w:rPr>
        <w:t xml:space="preserve">Int J Oral </w:t>
      </w:r>
      <w:proofErr w:type="spellStart"/>
      <w:r>
        <w:rPr>
          <w:rFonts w:ascii="Times New Roman" w:eastAsia="Times New Roman" w:hAnsi="Times New Roman"/>
          <w:i/>
          <w:iCs/>
          <w:sz w:val="24"/>
          <w:szCs w:val="24"/>
        </w:rPr>
        <w:t>Maxillofac</w:t>
      </w:r>
      <w:proofErr w:type="spellEnd"/>
      <w:r>
        <w:rPr>
          <w:rFonts w:ascii="Times New Roman" w:eastAsia="Times New Roman" w:hAnsi="Times New Roman"/>
          <w:i/>
          <w:iCs/>
          <w:sz w:val="24"/>
          <w:szCs w:val="24"/>
        </w:rPr>
        <w:t xml:space="preserve">          Implant</w:t>
      </w:r>
      <w:r>
        <w:rPr>
          <w:rFonts w:ascii="Times New Roman" w:eastAsia="Times New Roman" w:hAnsi="Times New Roman"/>
          <w:sz w:val="24"/>
          <w:szCs w:val="24"/>
        </w:rPr>
        <w:t>s 28: 519–525.</w:t>
      </w:r>
      <w:r w:rsidR="00191644">
        <w:rPr>
          <w:rFonts w:ascii="Times New Roman" w:eastAsia="Times New Roman" w:hAnsi="Times New Roman"/>
          <w:sz w:val="24"/>
          <w:szCs w:val="24"/>
        </w:rPr>
        <w:t xml:space="preserve"> </w:t>
      </w:r>
      <w:r w:rsidR="00191644" w:rsidRPr="00191644">
        <w:rPr>
          <w:rFonts w:ascii="Times New Roman" w:eastAsia="Times New Roman" w:hAnsi="Times New Roman"/>
          <w:sz w:val="24"/>
          <w:szCs w:val="24"/>
        </w:rPr>
        <w:t>https://doi.org/10.11607/jomi.1632</w:t>
      </w:r>
    </w:p>
    <w:p w14:paraId="7280CC21" w14:textId="77777777" w:rsidR="001612D5" w:rsidRDefault="00000000">
      <w:pPr>
        <w:spacing w:beforeLines="100" w:before="312" w:line="300" w:lineRule="atLeast"/>
        <w:ind w:leftChars="1520" w:left="3192"/>
        <w:rPr>
          <w:rFonts w:ascii="Times New Roman" w:hAnsi="Times New Roman"/>
          <w:sz w:val="24"/>
          <w:szCs w:val="24"/>
        </w:rPr>
      </w:pPr>
      <w:r>
        <w:rPr>
          <w:noProof/>
        </w:rPr>
        <w:drawing>
          <wp:anchor distT="0" distB="0" distL="114300" distR="114300" simplePos="0" relativeHeight="251660288" behindDoc="0" locked="0" layoutInCell="1" allowOverlap="1" wp14:anchorId="51CBF3E9" wp14:editId="18590C63">
            <wp:simplePos x="0" y="0"/>
            <wp:positionH relativeFrom="column">
              <wp:posOffset>38100</wp:posOffset>
            </wp:positionH>
            <wp:positionV relativeFrom="paragraph">
              <wp:posOffset>256540</wp:posOffset>
            </wp:positionV>
            <wp:extent cx="1771650" cy="501650"/>
            <wp:effectExtent l="19050" t="0" r="0" b="0"/>
            <wp:wrapNone/>
            <wp:docPr id="2" name="Picture 1"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o, Logotipo&#10;&#10;Descripción generada automáticamente"/>
                    <pic:cNvPicPr>
                      <a:picLocks noChangeAspect="1" noChangeArrowheads="1"/>
                    </pic:cNvPicPr>
                  </pic:nvPicPr>
                  <pic:blipFill>
                    <a:blip r:embed="rId19" cstate="print"/>
                    <a:srcRect/>
                    <a:stretch>
                      <a:fillRect/>
                    </a:stretch>
                  </pic:blipFill>
                  <pic:spPr>
                    <a:xfrm>
                      <a:off x="0" y="0"/>
                      <a:ext cx="1771650" cy="501650"/>
                    </a:xfrm>
                    <a:prstGeom prst="rect">
                      <a:avLst/>
                    </a:prstGeom>
                    <a:noFill/>
                    <a:ln w="9525">
                      <a:noFill/>
                      <a:miter lim="800000"/>
                      <a:headEnd/>
                      <a:tailEnd/>
                    </a:ln>
                  </pic:spPr>
                </pic:pic>
              </a:graphicData>
            </a:graphic>
          </wp:anchor>
        </w:drawing>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20</w:t>
      </w:r>
      <w:r>
        <w:rPr>
          <w:rFonts w:ascii="Times New Roman" w:hAnsi="Times New Roman" w:hint="eastAsia"/>
          <w:sz w:val="24"/>
          <w:szCs w:val="24"/>
        </w:rPr>
        <w:t>2</w:t>
      </w:r>
      <w:r>
        <w:rPr>
          <w:rFonts w:ascii="Times New Roman" w:hAnsi="Times New Roman"/>
          <w:sz w:val="24"/>
          <w:szCs w:val="24"/>
        </w:rPr>
        <w:t xml:space="preserve">2 </w:t>
      </w:r>
      <w:r>
        <w:rPr>
          <w:rFonts w:ascii="Times New Roman" w:hAnsi="Times New Roman" w:hint="eastAsia"/>
          <w:sz w:val="24"/>
          <w:szCs w:val="24"/>
        </w:rPr>
        <w:t>the Author(s), licensee AIMS Press. T</w:t>
      </w:r>
      <w:r>
        <w:rPr>
          <w:rFonts w:ascii="Times New Roman" w:hAnsi="Times New Roman"/>
          <w:sz w:val="24"/>
          <w:szCs w:val="24"/>
        </w:rPr>
        <w:t>his is an open access article distributed under the terms of the Creative Commons Attribution License (http://creativecommons.org/licenses/by/</w:t>
      </w:r>
      <w:r>
        <w:rPr>
          <w:rFonts w:ascii="Times New Roman" w:hAnsi="Times New Roman" w:hint="eastAsia"/>
          <w:sz w:val="24"/>
          <w:szCs w:val="24"/>
        </w:rPr>
        <w:t>4</w:t>
      </w:r>
      <w:r>
        <w:rPr>
          <w:rFonts w:ascii="Times New Roman" w:hAnsi="Times New Roman"/>
          <w:sz w:val="24"/>
          <w:szCs w:val="24"/>
        </w:rPr>
        <w:t>.0)</w:t>
      </w:r>
    </w:p>
    <w:p w14:paraId="5223FF81" w14:textId="77777777" w:rsidR="001612D5" w:rsidRDefault="001612D5">
      <w:pPr>
        <w:spacing w:beforeLines="100" w:before="312" w:line="300" w:lineRule="atLeast"/>
        <w:ind w:leftChars="1520" w:left="3192"/>
        <w:rPr>
          <w:rFonts w:ascii="Times New Roman" w:hAnsi="Times New Roman"/>
          <w:sz w:val="24"/>
          <w:szCs w:val="24"/>
        </w:rPr>
      </w:pPr>
    </w:p>
    <w:sectPr w:rsidR="001612D5">
      <w:headerReference w:type="default" r:id="rId20"/>
      <w:footerReference w:type="default" r:id="rId21"/>
      <w:pgSz w:w="11906" w:h="16838"/>
      <w:pgMar w:top="1440" w:right="1080" w:bottom="1440" w:left="1080" w:header="851" w:footer="992" w:gutter="0"/>
      <w:pgNumType w:start="396"/>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21033" w14:textId="77777777" w:rsidR="008940C5" w:rsidRDefault="008940C5">
      <w:r>
        <w:separator/>
      </w:r>
    </w:p>
  </w:endnote>
  <w:endnote w:type="continuationSeparator" w:id="0">
    <w:p w14:paraId="77054A2D" w14:textId="77777777" w:rsidR="008940C5" w:rsidRDefault="00894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D75B" w14:textId="77777777" w:rsidR="001612D5" w:rsidRDefault="00000000">
    <w:pPr>
      <w:pStyle w:val="Piedepgina"/>
      <w:tabs>
        <w:tab w:val="clear" w:pos="8306"/>
        <w:tab w:val="right" w:pos="9781"/>
      </w:tabs>
      <w:jc w:val="both"/>
      <w:rPr>
        <w:rFonts w:ascii="Times New Roman" w:hAnsi="Times New Roman"/>
        <w:sz w:val="20"/>
        <w:szCs w:val="20"/>
      </w:rPr>
    </w:pPr>
    <w:r>
      <w:rPr>
        <w:rFonts w:ascii="Times New Roman" w:hAnsi="Times New Roman"/>
        <w:i/>
        <w:sz w:val="20"/>
        <w:szCs w:val="20"/>
      </w:rPr>
      <w:t>AIMS</w:t>
    </w:r>
    <w:r>
      <w:rPr>
        <w:rFonts w:ascii="Times New Roman" w:hAnsi="Times New Roman" w:hint="eastAsia"/>
        <w:i/>
        <w:sz w:val="20"/>
        <w:szCs w:val="20"/>
      </w:rPr>
      <w:t xml:space="preserve"> Bioengineering</w:t>
    </w:r>
    <w:r>
      <w:rPr>
        <w:rFonts w:ascii="Times New Roman" w:hAnsi="Times New Roman" w:hint="eastAsia"/>
        <w:sz w:val="20"/>
        <w:szCs w:val="20"/>
      </w:rPr>
      <w:tab/>
    </w:r>
    <w:r>
      <w:rPr>
        <w:rFonts w:ascii="Times New Roman" w:hAnsi="Times New Roman" w:hint="eastAsia"/>
        <w:sz w:val="20"/>
        <w:szCs w:val="20"/>
      </w:rPr>
      <w:tab/>
      <w:t xml:space="preserve">Volume </w:t>
    </w:r>
    <w:r>
      <w:rPr>
        <w:rFonts w:ascii="Times New Roman" w:hAnsi="Times New Roman"/>
        <w:sz w:val="20"/>
        <w:szCs w:val="20"/>
      </w:rPr>
      <w:t>9</w:t>
    </w:r>
    <w:r>
      <w:rPr>
        <w:rFonts w:ascii="Times New Roman" w:hAnsi="Times New Roman" w:hint="eastAsia"/>
        <w:sz w:val="20"/>
        <w:szCs w:val="20"/>
      </w:rPr>
      <w:t xml:space="preserve">, Issue </w:t>
    </w:r>
    <w:r>
      <w:rPr>
        <w:rFonts w:ascii="Times New Roman" w:hAnsi="Times New Roman"/>
        <w:sz w:val="20"/>
        <w:szCs w:val="20"/>
      </w:rPr>
      <w:t>4</w:t>
    </w:r>
    <w:r>
      <w:rPr>
        <w:rFonts w:ascii="Times New Roman" w:hAnsi="Times New Roman" w:hint="eastAsia"/>
        <w:sz w:val="20"/>
        <w:szCs w:val="20"/>
      </w:rPr>
      <w:t xml:space="preserve">, </w:t>
    </w:r>
    <w:r>
      <w:rPr>
        <w:rFonts w:ascii="Times New Roman" w:hAnsi="Times New Roman"/>
        <w:sz w:val="20"/>
        <w:szCs w:val="20"/>
      </w:rPr>
      <w:t>396–412</w:t>
    </w:r>
    <w:r>
      <w:rPr>
        <w:rFonts w:ascii="Times New Roman" w:hAnsi="Times New Roman" w:hint="eastAsia"/>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B8371" w14:textId="77777777" w:rsidR="008940C5" w:rsidRDefault="008940C5">
      <w:r>
        <w:separator/>
      </w:r>
    </w:p>
  </w:footnote>
  <w:footnote w:type="continuationSeparator" w:id="0">
    <w:p w14:paraId="6715B366" w14:textId="77777777" w:rsidR="008940C5" w:rsidRDefault="00894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102B" w14:textId="77777777" w:rsidR="001612D5" w:rsidRDefault="00000000">
    <w:pPr>
      <w:pStyle w:val="Encabezado"/>
      <w:jc w:val="right"/>
      <w:rPr>
        <w:sz w:val="20"/>
        <w:szCs w:val="20"/>
      </w:rP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lang w:val="zh-CN"/>
      </w:rPr>
      <w:t>2</w:t>
    </w:r>
    <w:r>
      <w:rPr>
        <w:rFonts w:ascii="Times New Roman" w:hAnsi="Times New Roman"/>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B01"/>
    <w:multiLevelType w:val="hybridMultilevel"/>
    <w:tmpl w:val="1E96E58A"/>
    <w:lvl w:ilvl="0" w:tplc="5F0CCA18">
      <w:start w:val="1"/>
      <w:numFmt w:val="decimal"/>
      <w:lvlText w:val="%1."/>
      <w:lvlJc w:val="left"/>
      <w:pPr>
        <w:ind w:left="456" w:hanging="456"/>
      </w:pPr>
      <w:rPr>
        <w:rFonts w:ascii="Times New Roman" w:eastAsia="SimSun" w:hAnsi="Times New Roman" w:cs="Times New Roman"/>
        <w:b w:val="0"/>
        <w:color w:val="2121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0226B6"/>
    <w:multiLevelType w:val="multilevel"/>
    <w:tmpl w:val="060226B6"/>
    <w:lvl w:ilvl="0">
      <w:start w:val="1"/>
      <w:numFmt w:val="decimal"/>
      <w:lvlText w:val="%1."/>
      <w:lvlJc w:val="left"/>
      <w:pPr>
        <w:ind w:left="643" w:hanging="360"/>
      </w:pPr>
      <w:rPr>
        <w:rFonts w:hint="default"/>
      </w:rPr>
    </w:lvl>
    <w:lvl w:ilvl="1">
      <w:start w:val="1"/>
      <w:numFmt w:val="decimal"/>
      <w:isLgl/>
      <w:lvlText w:val="%1.%2."/>
      <w:lvlJc w:val="left"/>
      <w:pPr>
        <w:ind w:left="27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14D7125"/>
    <w:multiLevelType w:val="hybridMultilevel"/>
    <w:tmpl w:val="E6EEB9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F32791"/>
    <w:multiLevelType w:val="multilevel"/>
    <w:tmpl w:val="3EF32791"/>
    <w:lvl w:ilvl="0">
      <w:start w:val="1"/>
      <w:numFmt w:val="decimal"/>
      <w:lvlText w:val="%1"/>
      <w:lvlJc w:val="left"/>
      <w:pPr>
        <w:ind w:left="473" w:hanging="360"/>
      </w:pPr>
      <w:rPr>
        <w:rFonts w:hint="default"/>
        <w:b/>
        <w:bCs/>
        <w:vertAlign w:val="superscript"/>
      </w:r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num w:numId="1" w16cid:durableId="2010711576">
    <w:abstractNumId w:val="3"/>
  </w:num>
  <w:num w:numId="2" w16cid:durableId="818809786">
    <w:abstractNumId w:val="1"/>
  </w:num>
  <w:num w:numId="3" w16cid:durableId="645554589">
    <w:abstractNumId w:val="2"/>
  </w:num>
  <w:num w:numId="4" w16cid:durableId="1658849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ZjOTk2ZTY4MzBiNDUzMDNjZGE1Njk3NzU5MmVhNGYifQ=="/>
  </w:docVars>
  <w:rsids>
    <w:rsidRoot w:val="0006440F"/>
    <w:rsid w:val="0000307A"/>
    <w:rsid w:val="00014E0E"/>
    <w:rsid w:val="000224F7"/>
    <w:rsid w:val="0002372F"/>
    <w:rsid w:val="00027FB3"/>
    <w:rsid w:val="00032932"/>
    <w:rsid w:val="00042762"/>
    <w:rsid w:val="00043797"/>
    <w:rsid w:val="00047F2D"/>
    <w:rsid w:val="00060316"/>
    <w:rsid w:val="0006440F"/>
    <w:rsid w:val="0008050E"/>
    <w:rsid w:val="0008057C"/>
    <w:rsid w:val="00084FE2"/>
    <w:rsid w:val="00094D13"/>
    <w:rsid w:val="00095C7C"/>
    <w:rsid w:val="000A0B24"/>
    <w:rsid w:val="000B1385"/>
    <w:rsid w:val="000B5CBF"/>
    <w:rsid w:val="000C3274"/>
    <w:rsid w:val="000C5C6D"/>
    <w:rsid w:val="000C707C"/>
    <w:rsid w:val="000F1998"/>
    <w:rsid w:val="000F488F"/>
    <w:rsid w:val="001018D5"/>
    <w:rsid w:val="00104D30"/>
    <w:rsid w:val="00111B13"/>
    <w:rsid w:val="00111C28"/>
    <w:rsid w:val="00114D3E"/>
    <w:rsid w:val="00122700"/>
    <w:rsid w:val="001233B4"/>
    <w:rsid w:val="0012504A"/>
    <w:rsid w:val="00127356"/>
    <w:rsid w:val="00134D59"/>
    <w:rsid w:val="001558CB"/>
    <w:rsid w:val="00160FE8"/>
    <w:rsid w:val="001612D5"/>
    <w:rsid w:val="001647C5"/>
    <w:rsid w:val="00164E08"/>
    <w:rsid w:val="0017402E"/>
    <w:rsid w:val="00181A9F"/>
    <w:rsid w:val="00191644"/>
    <w:rsid w:val="001A2570"/>
    <w:rsid w:val="001A5C70"/>
    <w:rsid w:val="001B1F1C"/>
    <w:rsid w:val="001E3575"/>
    <w:rsid w:val="00201DD4"/>
    <w:rsid w:val="00213A73"/>
    <w:rsid w:val="002170AE"/>
    <w:rsid w:val="00221BB3"/>
    <w:rsid w:val="00233B00"/>
    <w:rsid w:val="0023507A"/>
    <w:rsid w:val="002420BB"/>
    <w:rsid w:val="00243D6A"/>
    <w:rsid w:val="00246AF2"/>
    <w:rsid w:val="0026641B"/>
    <w:rsid w:val="00274198"/>
    <w:rsid w:val="00274294"/>
    <w:rsid w:val="002763A4"/>
    <w:rsid w:val="00276417"/>
    <w:rsid w:val="00276879"/>
    <w:rsid w:val="00284511"/>
    <w:rsid w:val="002A5B24"/>
    <w:rsid w:val="002B0428"/>
    <w:rsid w:val="002B0B58"/>
    <w:rsid w:val="002B3755"/>
    <w:rsid w:val="002B4563"/>
    <w:rsid w:val="002B558A"/>
    <w:rsid w:val="002C544C"/>
    <w:rsid w:val="002D0E32"/>
    <w:rsid w:val="002D63D3"/>
    <w:rsid w:val="002E13CF"/>
    <w:rsid w:val="002F4199"/>
    <w:rsid w:val="00301DA0"/>
    <w:rsid w:val="003167A9"/>
    <w:rsid w:val="00323288"/>
    <w:rsid w:val="003300D3"/>
    <w:rsid w:val="003302B1"/>
    <w:rsid w:val="00351170"/>
    <w:rsid w:val="00371640"/>
    <w:rsid w:val="00371C80"/>
    <w:rsid w:val="003741D6"/>
    <w:rsid w:val="003754AC"/>
    <w:rsid w:val="003764E2"/>
    <w:rsid w:val="00390C35"/>
    <w:rsid w:val="0039102F"/>
    <w:rsid w:val="0039396B"/>
    <w:rsid w:val="003951F7"/>
    <w:rsid w:val="003A0BF3"/>
    <w:rsid w:val="003B19A4"/>
    <w:rsid w:val="003B1C3E"/>
    <w:rsid w:val="003B316E"/>
    <w:rsid w:val="003B33BA"/>
    <w:rsid w:val="003B5C23"/>
    <w:rsid w:val="003C0F13"/>
    <w:rsid w:val="003C3DE1"/>
    <w:rsid w:val="003D222B"/>
    <w:rsid w:val="00404595"/>
    <w:rsid w:val="0040691C"/>
    <w:rsid w:val="00406A36"/>
    <w:rsid w:val="0042095F"/>
    <w:rsid w:val="004210F3"/>
    <w:rsid w:val="00430AF9"/>
    <w:rsid w:val="00433C67"/>
    <w:rsid w:val="00440138"/>
    <w:rsid w:val="004447E3"/>
    <w:rsid w:val="00444F98"/>
    <w:rsid w:val="00450E91"/>
    <w:rsid w:val="00451966"/>
    <w:rsid w:val="00453028"/>
    <w:rsid w:val="004572C8"/>
    <w:rsid w:val="00462598"/>
    <w:rsid w:val="004628FC"/>
    <w:rsid w:val="00483F8D"/>
    <w:rsid w:val="00486947"/>
    <w:rsid w:val="004915B4"/>
    <w:rsid w:val="00492219"/>
    <w:rsid w:val="0049292E"/>
    <w:rsid w:val="00496876"/>
    <w:rsid w:val="004A03DE"/>
    <w:rsid w:val="004A1340"/>
    <w:rsid w:val="004A1B39"/>
    <w:rsid w:val="004A46F6"/>
    <w:rsid w:val="004A7E03"/>
    <w:rsid w:val="004B05E3"/>
    <w:rsid w:val="004B4C19"/>
    <w:rsid w:val="004C7F61"/>
    <w:rsid w:val="004C7F63"/>
    <w:rsid w:val="004E6C76"/>
    <w:rsid w:val="004F3796"/>
    <w:rsid w:val="004F6F46"/>
    <w:rsid w:val="005030AA"/>
    <w:rsid w:val="00512CB1"/>
    <w:rsid w:val="005225B8"/>
    <w:rsid w:val="00522F01"/>
    <w:rsid w:val="00523B04"/>
    <w:rsid w:val="00526DEA"/>
    <w:rsid w:val="005320E7"/>
    <w:rsid w:val="005344AA"/>
    <w:rsid w:val="005377BF"/>
    <w:rsid w:val="005507E8"/>
    <w:rsid w:val="00553116"/>
    <w:rsid w:val="00573738"/>
    <w:rsid w:val="00577F67"/>
    <w:rsid w:val="005815D7"/>
    <w:rsid w:val="00593041"/>
    <w:rsid w:val="005B03E8"/>
    <w:rsid w:val="005B2255"/>
    <w:rsid w:val="005B485C"/>
    <w:rsid w:val="005E0691"/>
    <w:rsid w:val="005E776C"/>
    <w:rsid w:val="005F1F7A"/>
    <w:rsid w:val="005F6866"/>
    <w:rsid w:val="0060522F"/>
    <w:rsid w:val="00615226"/>
    <w:rsid w:val="00617163"/>
    <w:rsid w:val="006213C6"/>
    <w:rsid w:val="00632053"/>
    <w:rsid w:val="00647D19"/>
    <w:rsid w:val="006534AA"/>
    <w:rsid w:val="00665D6F"/>
    <w:rsid w:val="00672692"/>
    <w:rsid w:val="00675610"/>
    <w:rsid w:val="00681D40"/>
    <w:rsid w:val="006906C9"/>
    <w:rsid w:val="006A175B"/>
    <w:rsid w:val="006A4B18"/>
    <w:rsid w:val="006B0181"/>
    <w:rsid w:val="006E343C"/>
    <w:rsid w:val="006E62B3"/>
    <w:rsid w:val="006E67FC"/>
    <w:rsid w:val="006F40B1"/>
    <w:rsid w:val="006F46D5"/>
    <w:rsid w:val="00701A29"/>
    <w:rsid w:val="00710F5B"/>
    <w:rsid w:val="00712218"/>
    <w:rsid w:val="00715CC7"/>
    <w:rsid w:val="00721973"/>
    <w:rsid w:val="00727A66"/>
    <w:rsid w:val="00730031"/>
    <w:rsid w:val="00735211"/>
    <w:rsid w:val="00742F11"/>
    <w:rsid w:val="00776313"/>
    <w:rsid w:val="00782EEC"/>
    <w:rsid w:val="00786971"/>
    <w:rsid w:val="007906F3"/>
    <w:rsid w:val="00790813"/>
    <w:rsid w:val="00794069"/>
    <w:rsid w:val="007953E0"/>
    <w:rsid w:val="0079663C"/>
    <w:rsid w:val="007A1266"/>
    <w:rsid w:val="007A56B4"/>
    <w:rsid w:val="007B5D84"/>
    <w:rsid w:val="007C394F"/>
    <w:rsid w:val="007D3AFF"/>
    <w:rsid w:val="007D4B4E"/>
    <w:rsid w:val="007E617F"/>
    <w:rsid w:val="00807CA6"/>
    <w:rsid w:val="008122A8"/>
    <w:rsid w:val="00813992"/>
    <w:rsid w:val="00813C54"/>
    <w:rsid w:val="0081698D"/>
    <w:rsid w:val="00823327"/>
    <w:rsid w:val="00830065"/>
    <w:rsid w:val="00832CED"/>
    <w:rsid w:val="008370BD"/>
    <w:rsid w:val="00851449"/>
    <w:rsid w:val="00860B07"/>
    <w:rsid w:val="00871B4C"/>
    <w:rsid w:val="0087508F"/>
    <w:rsid w:val="00875EF8"/>
    <w:rsid w:val="008940C5"/>
    <w:rsid w:val="008B4825"/>
    <w:rsid w:val="008B5230"/>
    <w:rsid w:val="008C3630"/>
    <w:rsid w:val="008D34F8"/>
    <w:rsid w:val="008F1128"/>
    <w:rsid w:val="008F516A"/>
    <w:rsid w:val="00900FEE"/>
    <w:rsid w:val="00901A22"/>
    <w:rsid w:val="00913AB4"/>
    <w:rsid w:val="00915107"/>
    <w:rsid w:val="00915823"/>
    <w:rsid w:val="00920513"/>
    <w:rsid w:val="00920D44"/>
    <w:rsid w:val="009225D3"/>
    <w:rsid w:val="0093528C"/>
    <w:rsid w:val="00936F4D"/>
    <w:rsid w:val="009436BF"/>
    <w:rsid w:val="00945CB8"/>
    <w:rsid w:val="00957014"/>
    <w:rsid w:val="00963AD3"/>
    <w:rsid w:val="009807CC"/>
    <w:rsid w:val="00985631"/>
    <w:rsid w:val="009867FB"/>
    <w:rsid w:val="00990A75"/>
    <w:rsid w:val="00997EAF"/>
    <w:rsid w:val="009A54F7"/>
    <w:rsid w:val="009D5D4B"/>
    <w:rsid w:val="009F272E"/>
    <w:rsid w:val="009F3343"/>
    <w:rsid w:val="00A01407"/>
    <w:rsid w:val="00A01C3A"/>
    <w:rsid w:val="00A03B2A"/>
    <w:rsid w:val="00A1206D"/>
    <w:rsid w:val="00A26298"/>
    <w:rsid w:val="00A26696"/>
    <w:rsid w:val="00A2691B"/>
    <w:rsid w:val="00A2709A"/>
    <w:rsid w:val="00A3429D"/>
    <w:rsid w:val="00A366EF"/>
    <w:rsid w:val="00A45A73"/>
    <w:rsid w:val="00A50F4D"/>
    <w:rsid w:val="00A56460"/>
    <w:rsid w:val="00A571B2"/>
    <w:rsid w:val="00A636ED"/>
    <w:rsid w:val="00A75C9D"/>
    <w:rsid w:val="00A8344D"/>
    <w:rsid w:val="00A841B3"/>
    <w:rsid w:val="00A91AFC"/>
    <w:rsid w:val="00A92AC9"/>
    <w:rsid w:val="00A94D7D"/>
    <w:rsid w:val="00AC1B7F"/>
    <w:rsid w:val="00AC27CB"/>
    <w:rsid w:val="00AF31C1"/>
    <w:rsid w:val="00AF49C0"/>
    <w:rsid w:val="00B07999"/>
    <w:rsid w:val="00B2764F"/>
    <w:rsid w:val="00B35282"/>
    <w:rsid w:val="00B53749"/>
    <w:rsid w:val="00B57B33"/>
    <w:rsid w:val="00B61A65"/>
    <w:rsid w:val="00B702E8"/>
    <w:rsid w:val="00B8322F"/>
    <w:rsid w:val="00B83822"/>
    <w:rsid w:val="00B8413F"/>
    <w:rsid w:val="00B85414"/>
    <w:rsid w:val="00B862E5"/>
    <w:rsid w:val="00B868F5"/>
    <w:rsid w:val="00B87687"/>
    <w:rsid w:val="00B94AF0"/>
    <w:rsid w:val="00B95AA1"/>
    <w:rsid w:val="00BA1E1C"/>
    <w:rsid w:val="00BA22E5"/>
    <w:rsid w:val="00BA4EC4"/>
    <w:rsid w:val="00BA5838"/>
    <w:rsid w:val="00BA6709"/>
    <w:rsid w:val="00BA7A92"/>
    <w:rsid w:val="00BC19F6"/>
    <w:rsid w:val="00BC349B"/>
    <w:rsid w:val="00BC7F03"/>
    <w:rsid w:val="00BD53F6"/>
    <w:rsid w:val="00BD72AC"/>
    <w:rsid w:val="00BE227B"/>
    <w:rsid w:val="00BE4F8F"/>
    <w:rsid w:val="00BF04D6"/>
    <w:rsid w:val="00BF4EE4"/>
    <w:rsid w:val="00BF714C"/>
    <w:rsid w:val="00C002ED"/>
    <w:rsid w:val="00C01D25"/>
    <w:rsid w:val="00C34F36"/>
    <w:rsid w:val="00C45A71"/>
    <w:rsid w:val="00C47CAC"/>
    <w:rsid w:val="00C621EE"/>
    <w:rsid w:val="00C71B23"/>
    <w:rsid w:val="00C7376D"/>
    <w:rsid w:val="00C74EA2"/>
    <w:rsid w:val="00C762EB"/>
    <w:rsid w:val="00C84D1F"/>
    <w:rsid w:val="00CA646D"/>
    <w:rsid w:val="00CB232C"/>
    <w:rsid w:val="00CC251C"/>
    <w:rsid w:val="00CD7CF0"/>
    <w:rsid w:val="00CE0D7C"/>
    <w:rsid w:val="00CE0F24"/>
    <w:rsid w:val="00CE37EB"/>
    <w:rsid w:val="00CF0B48"/>
    <w:rsid w:val="00CF3E72"/>
    <w:rsid w:val="00CF648F"/>
    <w:rsid w:val="00D03AD3"/>
    <w:rsid w:val="00D23A0B"/>
    <w:rsid w:val="00D256C3"/>
    <w:rsid w:val="00D31E53"/>
    <w:rsid w:val="00D362B7"/>
    <w:rsid w:val="00D36CE2"/>
    <w:rsid w:val="00D42E12"/>
    <w:rsid w:val="00D4527A"/>
    <w:rsid w:val="00D51492"/>
    <w:rsid w:val="00D57F89"/>
    <w:rsid w:val="00D61F60"/>
    <w:rsid w:val="00D64058"/>
    <w:rsid w:val="00D77FC8"/>
    <w:rsid w:val="00D94640"/>
    <w:rsid w:val="00DA4584"/>
    <w:rsid w:val="00DA644C"/>
    <w:rsid w:val="00DB0B8D"/>
    <w:rsid w:val="00DB763F"/>
    <w:rsid w:val="00DC26F9"/>
    <w:rsid w:val="00DC33E0"/>
    <w:rsid w:val="00DC47DA"/>
    <w:rsid w:val="00DC5F77"/>
    <w:rsid w:val="00DD5218"/>
    <w:rsid w:val="00DD5D03"/>
    <w:rsid w:val="00DE5F4E"/>
    <w:rsid w:val="00DE79A1"/>
    <w:rsid w:val="00E16129"/>
    <w:rsid w:val="00E34048"/>
    <w:rsid w:val="00E3521F"/>
    <w:rsid w:val="00E47CC5"/>
    <w:rsid w:val="00E602B3"/>
    <w:rsid w:val="00E60952"/>
    <w:rsid w:val="00E6640D"/>
    <w:rsid w:val="00E81A55"/>
    <w:rsid w:val="00E81EBA"/>
    <w:rsid w:val="00E831AC"/>
    <w:rsid w:val="00E878DA"/>
    <w:rsid w:val="00EA2311"/>
    <w:rsid w:val="00EC592F"/>
    <w:rsid w:val="00ED5B0E"/>
    <w:rsid w:val="00ED5B38"/>
    <w:rsid w:val="00EE6426"/>
    <w:rsid w:val="00EF1EF5"/>
    <w:rsid w:val="00EF4FD4"/>
    <w:rsid w:val="00EF7A36"/>
    <w:rsid w:val="00F07076"/>
    <w:rsid w:val="00F1232A"/>
    <w:rsid w:val="00F2113D"/>
    <w:rsid w:val="00F25316"/>
    <w:rsid w:val="00F3465A"/>
    <w:rsid w:val="00F43F2E"/>
    <w:rsid w:val="00F44354"/>
    <w:rsid w:val="00F5422A"/>
    <w:rsid w:val="00F56BDC"/>
    <w:rsid w:val="00F640D9"/>
    <w:rsid w:val="00F726AF"/>
    <w:rsid w:val="00F8494D"/>
    <w:rsid w:val="00FA43CE"/>
    <w:rsid w:val="00FA45EE"/>
    <w:rsid w:val="00FB2908"/>
    <w:rsid w:val="00FB79BB"/>
    <w:rsid w:val="00FC3963"/>
    <w:rsid w:val="00FC7C69"/>
    <w:rsid w:val="00FD2438"/>
    <w:rsid w:val="00FD76F9"/>
    <w:rsid w:val="00FF2ADA"/>
    <w:rsid w:val="00FF3E69"/>
    <w:rsid w:val="379C7B77"/>
    <w:rsid w:val="3B3132CB"/>
    <w:rsid w:val="665E7BD6"/>
    <w:rsid w:val="6A9C0D06"/>
    <w:rsid w:val="75BA6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AC9E8C0"/>
  <w15:docId w15:val="{8AA382F8-9A57-461E-A7BE-99D07706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pPr>
      <w:spacing w:after="120"/>
    </w:pPr>
  </w:style>
  <w:style w:type="paragraph" w:styleId="Textodeglobo">
    <w:name w:val="Balloon Text"/>
    <w:basedOn w:val="Normal"/>
    <w:link w:val="TextodegloboCar"/>
    <w:uiPriority w:val="99"/>
    <w:semiHidden/>
    <w:unhideWhenUsed/>
    <w:rPr>
      <w:sz w:val="18"/>
      <w:szCs w:val="18"/>
    </w:rPr>
  </w:style>
  <w:style w:type="paragraph" w:styleId="Piedepgina">
    <w:name w:val="footer"/>
    <w:basedOn w:val="Normal"/>
    <w:link w:val="PiedepginaCar"/>
    <w:uiPriority w:val="99"/>
    <w:unhideWhenUsed/>
    <w:qFormat/>
    <w:pPr>
      <w:tabs>
        <w:tab w:val="center" w:pos="4153"/>
        <w:tab w:val="right" w:pos="8306"/>
      </w:tabs>
      <w:snapToGrid w:val="0"/>
      <w:jc w:val="left"/>
    </w:pPr>
    <w:rPr>
      <w:sz w:val="18"/>
      <w:szCs w:val="18"/>
    </w:rPr>
  </w:style>
  <w:style w:type="paragraph" w:styleId="Encabezado">
    <w:name w:val="header"/>
    <w:basedOn w:val="Normal"/>
    <w:link w:val="EncabezadoCar"/>
    <w:uiPriority w:val="99"/>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widowControl/>
      <w:spacing w:before="100" w:beforeAutospacing="1" w:after="100" w:afterAutospacing="1"/>
      <w:jc w:val="left"/>
    </w:pPr>
    <w:rPr>
      <w:rFonts w:ascii="Times New Roman" w:eastAsia="Times New Roman" w:hAnsi="Times New Roman"/>
      <w:kern w:val="0"/>
      <w:sz w:val="24"/>
      <w:szCs w:val="24"/>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Pr>
      <w:b/>
      <w:bCs/>
    </w:rPr>
  </w:style>
  <w:style w:type="character" w:styleId="Hipervnculovisitado">
    <w:name w:val="FollowedHyperlink"/>
    <w:uiPriority w:val="99"/>
    <w:semiHidden/>
    <w:unhideWhenUsed/>
    <w:rPr>
      <w:color w:val="800080"/>
      <w:u w:val="single"/>
    </w:rPr>
  </w:style>
  <w:style w:type="character" w:styleId="Nmerodelnea">
    <w:name w:val="line number"/>
    <w:basedOn w:val="Fuentedeprrafopredeter"/>
    <w:uiPriority w:val="99"/>
    <w:semiHidden/>
    <w:unhideWhenUsed/>
  </w:style>
  <w:style w:type="character" w:styleId="Hipervnculo">
    <w:name w:val="Hyperlink"/>
    <w:uiPriority w:val="99"/>
    <w:unhideWhenUsed/>
    <w:rPr>
      <w:color w:val="0000FF"/>
      <w:u w:val="single"/>
    </w:rPr>
  </w:style>
  <w:style w:type="paragraph" w:styleId="Prrafodelista">
    <w:name w:val="List Paragraph"/>
    <w:basedOn w:val="Normal"/>
    <w:uiPriority w:val="34"/>
    <w:qFormat/>
    <w:pPr>
      <w:ind w:firstLineChars="200" w:firstLine="420"/>
    </w:pPr>
  </w:style>
  <w:style w:type="paragraph" w:customStyle="1" w:styleId="MISSN">
    <w:name w:val="M_ISSN"/>
    <w:basedOn w:val="Normal"/>
    <w:pPr>
      <w:widowControl/>
      <w:spacing w:after="520" w:line="340" w:lineRule="atLeast"/>
      <w:jc w:val="right"/>
    </w:pPr>
    <w:rPr>
      <w:rFonts w:ascii="Times New Roman" w:eastAsia="Times New Roman" w:hAnsi="Times New Roman"/>
      <w:color w:val="000000"/>
      <w:kern w:val="0"/>
      <w:sz w:val="24"/>
      <w:szCs w:val="20"/>
      <w:lang w:eastAsia="de-DE"/>
    </w:rPr>
  </w:style>
  <w:style w:type="character" w:customStyle="1" w:styleId="EncabezadoCar">
    <w:name w:val="Encabezado Car"/>
    <w:link w:val="Encabezado"/>
    <w:uiPriority w:val="99"/>
    <w:rPr>
      <w:sz w:val="18"/>
      <w:szCs w:val="18"/>
    </w:rPr>
  </w:style>
  <w:style w:type="character" w:customStyle="1" w:styleId="PiedepginaCar">
    <w:name w:val="Pie de página Car"/>
    <w:link w:val="Piedepgina"/>
    <w:uiPriority w:val="99"/>
    <w:qFormat/>
    <w:rPr>
      <w:sz w:val="18"/>
      <w:szCs w:val="18"/>
    </w:rPr>
  </w:style>
  <w:style w:type="character" w:customStyle="1" w:styleId="TextodegloboCar">
    <w:name w:val="Texto de globo Car"/>
    <w:link w:val="Textodeglobo"/>
    <w:uiPriority w:val="99"/>
    <w:semiHidden/>
    <w:rPr>
      <w:sz w:val="18"/>
      <w:szCs w:val="18"/>
    </w:rPr>
  </w:style>
  <w:style w:type="table" w:customStyle="1" w:styleId="1">
    <w:name w:val="浅色底纹1"/>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xtoindependienteCar">
    <w:name w:val="Texto independiente Car"/>
    <w:basedOn w:val="Fuentedeprrafopredeter"/>
    <w:link w:val="Textoindependiente"/>
    <w:uiPriority w:val="99"/>
    <w:semiHidden/>
    <w:rPr>
      <w:kern w:val="2"/>
      <w:sz w:val="21"/>
      <w:szCs w:val="22"/>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character" w:customStyle="1" w:styleId="10">
    <w:name w:val="未处理的提及1"/>
    <w:basedOn w:val="Fuentedeprrafopredeter"/>
    <w:uiPriority w:val="99"/>
    <w:semiHidden/>
    <w:unhideWhenUsed/>
    <w:rPr>
      <w:color w:val="605E5C"/>
      <w:shd w:val="clear" w:color="auto" w:fill="E1DFDD"/>
    </w:rPr>
  </w:style>
  <w:style w:type="character" w:styleId="Mencinsinresolver">
    <w:name w:val="Unresolved Mention"/>
    <w:basedOn w:val="Fuentedeprrafopredeter"/>
    <w:uiPriority w:val="99"/>
    <w:semiHidden/>
    <w:unhideWhenUsed/>
    <w:rsid w:val="002B3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781AE-02E0-4D88-BDB1-8113D297C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17</Pages>
  <Words>6616</Words>
  <Characters>36393</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42924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cp:lastPrinted>2022-12-12T03:20:00Z</cp:lastPrinted>
  <dcterms:created xsi:type="dcterms:W3CDTF">2022-12-27T09:58:00Z</dcterms:created>
  <dcterms:modified xsi:type="dcterms:W3CDTF">2022-12-27T15:27:00Z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GrammarlyDocumentId">
    <vt:lpwstr>2cb337c71863dafe9cdc49052a9971370c9c41d0f5d8234f610cd66aead2955b</vt:lpwstr>
  </property>
  <property fmtid="{D5CDD505-2E9C-101B-9397-08002B2CF9AE}" pid="4" name="ICV">
    <vt:lpwstr>134452F41AFF404CA5A3557697E5853B</vt:lpwstr>
  </property>
</Properties>
</file>